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6A39E" w14:textId="256866CC" w:rsidR="005D2598" w:rsidRPr="00797A41" w:rsidRDefault="005D2598" w:rsidP="005D2598">
      <w:pPr>
        <w:spacing w:after="0" w:line="276" w:lineRule="auto"/>
        <w:contextualSpacing/>
        <w:jc w:val="both"/>
        <w:rPr>
          <w:rFonts w:cs="Arial"/>
          <w:b/>
          <w:sz w:val="24"/>
          <w:szCs w:val="24"/>
        </w:rPr>
      </w:pPr>
      <w:r w:rsidRPr="00797A41">
        <w:rPr>
          <w:rFonts w:cs="Arial"/>
          <w:b/>
          <w:sz w:val="24"/>
          <w:szCs w:val="24"/>
        </w:rPr>
        <w:t xml:space="preserve">SGV-A-265. Modificación al </w:t>
      </w:r>
      <w:r>
        <w:rPr>
          <w:rFonts w:cs="Arial"/>
          <w:b/>
          <w:sz w:val="24"/>
          <w:szCs w:val="24"/>
        </w:rPr>
        <w:t xml:space="preserve">Acuerdo </w:t>
      </w:r>
      <w:r w:rsidRPr="00797A41">
        <w:rPr>
          <w:rFonts w:cs="Arial"/>
          <w:b/>
          <w:sz w:val="24"/>
          <w:szCs w:val="24"/>
        </w:rPr>
        <w:t>SGV-A-198 Acuerdo para la implantación del Reglamento de Custodia</w:t>
      </w:r>
      <w:r w:rsidR="009470B2">
        <w:rPr>
          <w:rFonts w:cs="Arial"/>
          <w:b/>
          <w:sz w:val="24"/>
          <w:szCs w:val="24"/>
        </w:rPr>
        <w:t xml:space="preserve"> </w:t>
      </w:r>
      <w:r>
        <w:rPr>
          <w:rStyle w:val="Refdenotaalpie"/>
          <w:rFonts w:cs="Arial"/>
          <w:b/>
          <w:sz w:val="24"/>
        </w:rPr>
        <w:footnoteReference w:id="1"/>
      </w:r>
    </w:p>
    <w:p w14:paraId="20C22E0A" w14:textId="77777777" w:rsidR="005D2598" w:rsidRPr="00930DC4" w:rsidRDefault="005D2598" w:rsidP="005D2598">
      <w:pPr>
        <w:spacing w:after="0"/>
        <w:jc w:val="both"/>
        <w:rPr>
          <w:rFonts w:cs="Arial"/>
        </w:rPr>
      </w:pPr>
    </w:p>
    <w:p w14:paraId="546CF3D3" w14:textId="77777777" w:rsidR="005D2598" w:rsidRPr="00930DC4" w:rsidRDefault="005D2598" w:rsidP="005D2598">
      <w:pPr>
        <w:widowControl w:val="0"/>
        <w:spacing w:after="0"/>
        <w:jc w:val="both"/>
        <w:rPr>
          <w:rFonts w:cs="Arial"/>
        </w:rPr>
      </w:pPr>
    </w:p>
    <w:p w14:paraId="72D2B659" w14:textId="77777777" w:rsidR="005D2598" w:rsidRPr="00930DC4" w:rsidRDefault="005D2598" w:rsidP="005D2598">
      <w:pPr>
        <w:widowControl w:val="0"/>
        <w:jc w:val="both"/>
        <w:rPr>
          <w:rFonts w:cs="Arial"/>
          <w:b/>
          <w:lang w:eastAsia="es-ES"/>
        </w:rPr>
      </w:pPr>
      <w:r w:rsidRPr="00930DC4">
        <w:rPr>
          <w:rFonts w:cs="Arial"/>
          <w:b/>
          <w:lang w:eastAsia="es-ES"/>
        </w:rPr>
        <w:t>Considerando que:</w:t>
      </w:r>
    </w:p>
    <w:p w14:paraId="5C207624" w14:textId="77777777" w:rsidR="005D2598" w:rsidRDefault="005D2598" w:rsidP="005D2598">
      <w:pPr>
        <w:numPr>
          <w:ilvl w:val="0"/>
          <w:numId w:val="18"/>
        </w:numPr>
        <w:tabs>
          <w:tab w:val="left" w:pos="567"/>
        </w:tabs>
        <w:spacing w:after="0" w:line="240" w:lineRule="auto"/>
        <w:ind w:left="567" w:hanging="567"/>
        <w:jc w:val="both"/>
        <w:rPr>
          <w:rFonts w:cs="Arial"/>
        </w:rPr>
      </w:pPr>
      <w:r>
        <w:rPr>
          <w:rFonts w:cs="Arial"/>
        </w:rPr>
        <w:t>En la Sesión 1150-2015, celebrada el 23 de febrero del 2015, el Consejo Nacional de Supervisión del Sistema Financiero aprobó una reforma integral al Reglamento de Custodia.</w:t>
      </w:r>
    </w:p>
    <w:p w14:paraId="64613052" w14:textId="77777777" w:rsidR="005D2598" w:rsidRDefault="005D2598" w:rsidP="005D2598">
      <w:pPr>
        <w:tabs>
          <w:tab w:val="left" w:pos="567"/>
        </w:tabs>
        <w:spacing w:after="0" w:line="240" w:lineRule="auto"/>
        <w:ind w:left="567"/>
        <w:jc w:val="both"/>
        <w:rPr>
          <w:rFonts w:cs="Arial"/>
        </w:rPr>
      </w:pPr>
    </w:p>
    <w:p w14:paraId="7F87B38B" w14:textId="77777777" w:rsidR="005D2598" w:rsidRPr="00DD6C3A" w:rsidRDefault="005D2598" w:rsidP="005D2598">
      <w:pPr>
        <w:numPr>
          <w:ilvl w:val="0"/>
          <w:numId w:val="18"/>
        </w:numPr>
        <w:tabs>
          <w:tab w:val="left" w:pos="567"/>
        </w:tabs>
        <w:spacing w:after="0" w:line="240" w:lineRule="auto"/>
        <w:ind w:left="567" w:hanging="567"/>
        <w:jc w:val="both"/>
        <w:rPr>
          <w:rFonts w:cs="Arial"/>
        </w:rPr>
      </w:pPr>
      <w:r>
        <w:rPr>
          <w:rFonts w:cs="Arial"/>
        </w:rPr>
        <w:t>En la Sesión 1692-2021, celebrada el 4 de octubre del 2021, el Consejo Nacional de Supervisión del Sistema Financiero aprobó una reforma al Reglamento de Custodia, para que l</w:t>
      </w:r>
      <w:r w:rsidRPr="00BD24D5">
        <w:rPr>
          <w:rFonts w:eastAsia="Calibri" w:cs="Arial"/>
        </w:rPr>
        <w:t>as entidades de custodia, como parte de sus servicios, pued</w:t>
      </w:r>
      <w:r>
        <w:rPr>
          <w:rFonts w:eastAsia="Calibri" w:cs="Arial"/>
        </w:rPr>
        <w:t>a</w:t>
      </w:r>
      <w:r w:rsidRPr="00BD24D5">
        <w:rPr>
          <w:rFonts w:eastAsia="Calibri" w:cs="Arial"/>
        </w:rPr>
        <w:t>n abrir cuentas especiales de custodia para los emisores accionarios, con el fin único de registrar las acciones, cuyos inversionistas titulares no se han apersonado ante el emisor, para realizar el trámite de desmaterialización</w:t>
      </w:r>
      <w:r>
        <w:rPr>
          <w:rFonts w:eastAsia="Calibri" w:cs="Arial"/>
        </w:rPr>
        <w:t>, bajo la operativa que se establezca mediante acuerdo de alcance general.</w:t>
      </w:r>
    </w:p>
    <w:p w14:paraId="13FFE212" w14:textId="77777777" w:rsidR="005D2598" w:rsidRPr="00912CC9" w:rsidRDefault="005D2598" w:rsidP="005D2598">
      <w:pPr>
        <w:pStyle w:val="Prrafodelista"/>
        <w:rPr>
          <w:rFonts w:cs="Arial"/>
          <w:lang w:val="es-CR"/>
        </w:rPr>
      </w:pPr>
    </w:p>
    <w:p w14:paraId="5A9088B5" w14:textId="77777777" w:rsidR="005D2598" w:rsidRPr="00BD24D5" w:rsidRDefault="005D2598" w:rsidP="005D2598">
      <w:pPr>
        <w:numPr>
          <w:ilvl w:val="0"/>
          <w:numId w:val="18"/>
        </w:numPr>
        <w:tabs>
          <w:tab w:val="left" w:pos="567"/>
        </w:tabs>
        <w:spacing w:after="0" w:line="240" w:lineRule="auto"/>
        <w:ind w:left="567" w:hanging="567"/>
        <w:jc w:val="both"/>
        <w:rPr>
          <w:rFonts w:cs="Arial"/>
        </w:rPr>
      </w:pPr>
      <w:r>
        <w:rPr>
          <w:rFonts w:cs="Arial"/>
        </w:rPr>
        <w:t>Lo anterior conlleva que c</w:t>
      </w:r>
      <w:r w:rsidRPr="00B42CB2">
        <w:rPr>
          <w:rFonts w:cs="Arial"/>
        </w:rPr>
        <w:t>uando se resuelva cada caso en particular, los valores sal</w:t>
      </w:r>
      <w:r>
        <w:rPr>
          <w:rFonts w:cs="Arial"/>
        </w:rPr>
        <w:t>gan</w:t>
      </w:r>
      <w:r w:rsidRPr="00B42CB2">
        <w:rPr>
          <w:rFonts w:cs="Arial"/>
        </w:rPr>
        <w:t xml:space="preserve"> de la cuenta especial a </w:t>
      </w:r>
      <w:r>
        <w:rPr>
          <w:rFonts w:cs="Arial"/>
        </w:rPr>
        <w:t>una</w:t>
      </w:r>
      <w:r w:rsidRPr="00B42CB2">
        <w:rPr>
          <w:rFonts w:cs="Arial"/>
        </w:rPr>
        <w:t xml:space="preserve"> cuenta de custodia que el inversionista </w:t>
      </w:r>
      <w:r>
        <w:rPr>
          <w:rFonts w:cs="Arial"/>
        </w:rPr>
        <w:t xml:space="preserve">o sujeto legitimado </w:t>
      </w:r>
      <w:r w:rsidRPr="00B42CB2">
        <w:rPr>
          <w:rFonts w:cs="Arial"/>
        </w:rPr>
        <w:t>indique, ya sea a una cuenta ordinaria o a una cuenta CES. Este traslado se realizaría bajo el mecanismo de traspaso no oneroso con cambio de titularidad</w:t>
      </w:r>
      <w:r>
        <w:rPr>
          <w:rFonts w:cs="Arial"/>
        </w:rPr>
        <w:t>, lo que hace necesario incluir un motivo de autorización en este Acuerdo.</w:t>
      </w:r>
    </w:p>
    <w:p w14:paraId="75D95C1F" w14:textId="77777777" w:rsidR="005D2598" w:rsidRPr="00BD24D5" w:rsidRDefault="005D2598" w:rsidP="005D2598">
      <w:pPr>
        <w:pStyle w:val="Prrafodelista"/>
        <w:tabs>
          <w:tab w:val="left" w:pos="567"/>
        </w:tabs>
        <w:ind w:left="567" w:hanging="567"/>
        <w:rPr>
          <w:rFonts w:cs="Arial"/>
          <w:lang w:val="es-CR"/>
        </w:rPr>
      </w:pPr>
    </w:p>
    <w:p w14:paraId="2EAFFF55" w14:textId="77777777" w:rsidR="005D2598" w:rsidRDefault="005D2598" w:rsidP="005D2598">
      <w:pPr>
        <w:numPr>
          <w:ilvl w:val="0"/>
          <w:numId w:val="18"/>
        </w:numPr>
        <w:tabs>
          <w:tab w:val="left" w:pos="567"/>
        </w:tabs>
        <w:spacing w:after="0" w:line="240" w:lineRule="auto"/>
        <w:ind w:left="567" w:hanging="567"/>
        <w:jc w:val="both"/>
        <w:rPr>
          <w:rFonts w:cs="Arial"/>
        </w:rPr>
      </w:pPr>
      <w:r>
        <w:rPr>
          <w:rFonts w:cs="Arial"/>
          <w:lang w:val="es-MX"/>
        </w:rPr>
        <w:t>De conformidad con el artículo 8 de la Ley Reguladora del Mercado de Valores (LRMV) corresponde al Superintendente General adoptar todas las acciones necesarias para el cumplimiento efectivo de las funciones de regulación, fiscalización y supervisión que le competen a la Superintendencia General de Valores.</w:t>
      </w:r>
    </w:p>
    <w:p w14:paraId="30E33346" w14:textId="77777777" w:rsidR="005D2598" w:rsidRPr="00930DC4" w:rsidRDefault="005D2598" w:rsidP="005D2598">
      <w:pPr>
        <w:pStyle w:val="Prrafodelista"/>
        <w:widowControl w:val="0"/>
        <w:ind w:left="567"/>
        <w:jc w:val="both"/>
        <w:rPr>
          <w:rFonts w:cs="Arial"/>
          <w:lang w:val="es-CR" w:eastAsia="es-ES"/>
        </w:rPr>
      </w:pPr>
    </w:p>
    <w:p w14:paraId="1732E4A4" w14:textId="77777777" w:rsidR="005D2598" w:rsidRPr="00930DC4" w:rsidRDefault="005D2598" w:rsidP="005D2598">
      <w:pPr>
        <w:pStyle w:val="Prrafodelista"/>
        <w:widowControl w:val="0"/>
        <w:ind w:left="567"/>
        <w:jc w:val="both"/>
        <w:rPr>
          <w:rFonts w:cs="Arial"/>
          <w:lang w:val="es-CR" w:eastAsia="es-ES"/>
        </w:rPr>
      </w:pPr>
    </w:p>
    <w:p w14:paraId="167A23C0" w14:textId="0E359920" w:rsidR="005D2598" w:rsidRPr="005D2598" w:rsidRDefault="005D2598" w:rsidP="005D2598">
      <w:pPr>
        <w:rPr>
          <w:rFonts w:cs="Arial"/>
          <w:b/>
          <w:bCs/>
        </w:rPr>
      </w:pPr>
      <w:r>
        <w:rPr>
          <w:rFonts w:cs="Arial"/>
          <w:b/>
          <w:bCs/>
        </w:rPr>
        <w:t>D</w:t>
      </w:r>
      <w:r w:rsidRPr="005D2598">
        <w:rPr>
          <w:rFonts w:cs="Arial"/>
          <w:b/>
          <w:bCs/>
        </w:rPr>
        <w:t>ispone:</w:t>
      </w:r>
    </w:p>
    <w:p w14:paraId="66BA2AC1" w14:textId="6DDC7ABE" w:rsidR="005D2598" w:rsidRPr="005D2598" w:rsidRDefault="005D2598" w:rsidP="005D2598">
      <w:pPr>
        <w:jc w:val="center"/>
        <w:rPr>
          <w:rFonts w:cs="Arial"/>
          <w:b/>
          <w:bCs/>
        </w:rPr>
      </w:pPr>
      <w:r w:rsidRPr="005D2598">
        <w:rPr>
          <w:rFonts w:cs="Arial"/>
          <w:b/>
          <w:bCs/>
        </w:rPr>
        <w:t xml:space="preserve">SGV-A-265. Modificación al </w:t>
      </w:r>
      <w:r w:rsidR="00DB210D">
        <w:rPr>
          <w:rFonts w:cs="Arial"/>
          <w:b/>
          <w:bCs/>
        </w:rPr>
        <w:t xml:space="preserve">Acuerdo </w:t>
      </w:r>
      <w:r w:rsidRPr="005D2598">
        <w:rPr>
          <w:rFonts w:cs="Arial"/>
          <w:b/>
          <w:bCs/>
        </w:rPr>
        <w:t>SGV-A-198 Acuerdo para la implantación del Reglamento de Custodia, de conformidad con lo siguiente:</w:t>
      </w:r>
    </w:p>
    <w:p w14:paraId="0F071C30" w14:textId="77777777" w:rsidR="005D2598" w:rsidRPr="00BD24D5" w:rsidRDefault="005D2598" w:rsidP="005D2598">
      <w:pPr>
        <w:pStyle w:val="Prrafodelista"/>
        <w:numPr>
          <w:ilvl w:val="0"/>
          <w:numId w:val="17"/>
        </w:numPr>
        <w:spacing w:after="0" w:line="240" w:lineRule="auto"/>
        <w:ind w:left="426"/>
        <w:rPr>
          <w:rFonts w:cs="Arial"/>
          <w:b/>
          <w:bCs/>
          <w:lang w:val="es-CR"/>
        </w:rPr>
      </w:pPr>
      <w:r w:rsidRPr="00BD24D5">
        <w:rPr>
          <w:rFonts w:cs="Arial"/>
          <w:b/>
          <w:bCs/>
          <w:lang w:val="es-CR"/>
        </w:rPr>
        <w:t>Se crea un nuevo artículo 13, de conformidad con lo siguiente:</w:t>
      </w:r>
    </w:p>
    <w:p w14:paraId="1ED10A66" w14:textId="77777777" w:rsidR="005D2598" w:rsidRPr="00930DC4" w:rsidRDefault="005D2598" w:rsidP="005D2598">
      <w:pPr>
        <w:pStyle w:val="Prrafodelista"/>
        <w:rPr>
          <w:rFonts w:cs="Arial"/>
          <w:lang w:val="es-CR"/>
        </w:rPr>
      </w:pPr>
    </w:p>
    <w:p w14:paraId="54889DEE" w14:textId="77777777" w:rsidR="005D2598" w:rsidRPr="00672052" w:rsidRDefault="005D2598" w:rsidP="005D2598">
      <w:pPr>
        <w:rPr>
          <w:rFonts w:cs="Arial"/>
          <w:b/>
          <w:bCs/>
        </w:rPr>
      </w:pPr>
      <w:r w:rsidRPr="00672052">
        <w:rPr>
          <w:rFonts w:cs="Arial"/>
          <w:b/>
          <w:bCs/>
        </w:rPr>
        <w:t>Artículo 13. Cuentas de custodia especial para emisores accionarios</w:t>
      </w:r>
    </w:p>
    <w:p w14:paraId="181F9A1E" w14:textId="77777777" w:rsidR="005D2598" w:rsidRPr="00016A81" w:rsidRDefault="005D2598" w:rsidP="005D2598">
      <w:pPr>
        <w:widowControl w:val="0"/>
        <w:ind w:right="-93"/>
        <w:jc w:val="both"/>
        <w:rPr>
          <w:rFonts w:eastAsia="Calibri" w:cs="Arial"/>
        </w:rPr>
      </w:pPr>
      <w:r>
        <w:rPr>
          <w:rFonts w:eastAsia="Calibri" w:cs="Arial"/>
        </w:rPr>
        <w:t xml:space="preserve">En las cuentas de custodia especial para emisores accionarios, que mantengan las entidades de custodia, solo pueden </w:t>
      </w:r>
      <w:r w:rsidRPr="00016A81">
        <w:rPr>
          <w:rFonts w:eastAsia="Calibri" w:cs="Arial"/>
        </w:rPr>
        <w:t>registrar</w:t>
      </w:r>
      <w:r>
        <w:rPr>
          <w:rFonts w:eastAsia="Calibri" w:cs="Arial"/>
        </w:rPr>
        <w:t>se</w:t>
      </w:r>
      <w:r w:rsidRPr="00016A81">
        <w:rPr>
          <w:rFonts w:eastAsia="Calibri" w:cs="Arial"/>
        </w:rPr>
        <w:t xml:space="preserve"> las acciones, cuyos inversionistas titulares no se han apersonado ante el emisor, para realizar el trámite de desmaterialización. </w:t>
      </w:r>
    </w:p>
    <w:p w14:paraId="0F681E88" w14:textId="77777777" w:rsidR="005D2598" w:rsidRDefault="005D2598" w:rsidP="005D2598">
      <w:pPr>
        <w:widowControl w:val="0"/>
        <w:ind w:right="-93"/>
        <w:jc w:val="both"/>
        <w:rPr>
          <w:rFonts w:eastAsia="Calibri" w:cs="Arial"/>
        </w:rPr>
      </w:pPr>
      <w:r w:rsidRPr="00016A81">
        <w:rPr>
          <w:rFonts w:eastAsia="Calibri" w:cs="Arial"/>
        </w:rPr>
        <w:t xml:space="preserve">Estos valores se </w:t>
      </w:r>
      <w:r>
        <w:rPr>
          <w:rFonts w:eastAsia="Calibri" w:cs="Arial"/>
        </w:rPr>
        <w:t xml:space="preserve">deben </w:t>
      </w:r>
      <w:r w:rsidRPr="00016A81">
        <w:rPr>
          <w:rFonts w:eastAsia="Calibri" w:cs="Arial"/>
        </w:rPr>
        <w:t>registra</w:t>
      </w:r>
      <w:r>
        <w:rPr>
          <w:rFonts w:eastAsia="Calibri" w:cs="Arial"/>
        </w:rPr>
        <w:t>r</w:t>
      </w:r>
      <w:r w:rsidRPr="00016A81">
        <w:rPr>
          <w:rFonts w:eastAsia="Calibri" w:cs="Arial"/>
        </w:rPr>
        <w:t xml:space="preserve"> en estado inmovilizado, por lo que los </w:t>
      </w:r>
      <w:r>
        <w:rPr>
          <w:rFonts w:eastAsia="Calibri" w:cs="Arial"/>
        </w:rPr>
        <w:t xml:space="preserve">derechos </w:t>
      </w:r>
      <w:r w:rsidRPr="00016A81">
        <w:rPr>
          <w:rFonts w:eastAsia="Calibri" w:cs="Arial"/>
        </w:rPr>
        <w:t xml:space="preserve">patrimoniales, </w:t>
      </w:r>
      <w:r>
        <w:rPr>
          <w:rFonts w:eastAsia="Calibri" w:cs="Arial"/>
        </w:rPr>
        <w:t xml:space="preserve">podrán hacerse efectivos </w:t>
      </w:r>
      <w:r w:rsidRPr="00016A81">
        <w:rPr>
          <w:rFonts w:eastAsia="Calibri" w:cs="Arial"/>
        </w:rPr>
        <w:t xml:space="preserve">hasta tanto </w:t>
      </w:r>
      <w:r>
        <w:rPr>
          <w:rFonts w:eastAsia="Calibri" w:cs="Arial"/>
        </w:rPr>
        <w:t xml:space="preserve">los sujetos legitimados para ello </w:t>
      </w:r>
      <w:r w:rsidRPr="00016A81">
        <w:rPr>
          <w:rFonts w:eastAsia="Calibri" w:cs="Arial"/>
        </w:rPr>
        <w:t xml:space="preserve">realicen el trámite de desmaterialización </w:t>
      </w:r>
      <w:r>
        <w:rPr>
          <w:rFonts w:eastAsia="Calibri" w:cs="Arial"/>
        </w:rPr>
        <w:t xml:space="preserve">ante </w:t>
      </w:r>
      <w:r w:rsidRPr="00016A81">
        <w:rPr>
          <w:rFonts w:eastAsia="Calibri" w:cs="Arial"/>
        </w:rPr>
        <w:t>el emisor</w:t>
      </w:r>
      <w:r>
        <w:rPr>
          <w:rFonts w:eastAsia="Calibri" w:cs="Arial"/>
        </w:rPr>
        <w:t xml:space="preserve">; cualquier pago en efectivo que </w:t>
      </w:r>
      <w:r>
        <w:rPr>
          <w:rFonts w:eastAsia="Calibri" w:cs="Arial"/>
        </w:rPr>
        <w:lastRenderedPageBreak/>
        <w:t>se genere deben registrarse en cuenta por pagar.</w:t>
      </w:r>
      <w:r w:rsidRPr="00016A81">
        <w:rPr>
          <w:rFonts w:eastAsia="Calibri" w:cs="Arial"/>
        </w:rPr>
        <w:t xml:space="preserve"> </w:t>
      </w:r>
    </w:p>
    <w:p w14:paraId="286812A3" w14:textId="77777777" w:rsidR="005D2598" w:rsidRDefault="005D2598" w:rsidP="005D2598">
      <w:pPr>
        <w:widowControl w:val="0"/>
        <w:jc w:val="both"/>
        <w:rPr>
          <w:rFonts w:eastAsia="Calibri" w:cs="Arial"/>
        </w:rPr>
      </w:pPr>
      <w:r w:rsidRPr="00912CC9">
        <w:rPr>
          <w:rFonts w:eastAsia="Calibri" w:cs="Arial"/>
        </w:rPr>
        <w:t>En todo momento los valores deben mantenerse en registros individuales a nombre del titular</w:t>
      </w:r>
      <w:r>
        <w:rPr>
          <w:rFonts w:eastAsia="Calibri" w:cs="Arial"/>
        </w:rPr>
        <w:t>.</w:t>
      </w:r>
    </w:p>
    <w:p w14:paraId="3B9FB8C7" w14:textId="77777777" w:rsidR="005D2598" w:rsidRDefault="005D2598" w:rsidP="005D2598">
      <w:pPr>
        <w:widowControl w:val="0"/>
        <w:ind w:right="-93"/>
        <w:jc w:val="both"/>
        <w:rPr>
          <w:rFonts w:eastAsia="Calibri" w:cs="Arial"/>
        </w:rPr>
      </w:pPr>
      <w:r>
        <w:rPr>
          <w:rFonts w:eastAsia="Calibri" w:cs="Arial"/>
        </w:rPr>
        <w:t>En el momento que el legitimado realice el trámite de desmaterialización, el emisor deberá solicitar a la entidad de custodia el traslado de las acciones a la cuenta de custodia que el legitimado le indique.</w:t>
      </w:r>
    </w:p>
    <w:p w14:paraId="798081A8" w14:textId="77777777" w:rsidR="005D2598" w:rsidRDefault="005D2598" w:rsidP="005D2598">
      <w:pPr>
        <w:widowControl w:val="0"/>
        <w:ind w:right="-93"/>
        <w:jc w:val="both"/>
        <w:rPr>
          <w:rFonts w:eastAsia="Calibri" w:cs="Arial"/>
        </w:rPr>
      </w:pPr>
      <w:r>
        <w:rPr>
          <w:rFonts w:eastAsia="Calibri" w:cs="Arial"/>
        </w:rPr>
        <w:t>Este traslado de valores debe realizarse bajo el mecanismo de traspaso no oneroso con cambio de titularidad.</w:t>
      </w:r>
    </w:p>
    <w:p w14:paraId="51FB024A" w14:textId="77777777" w:rsidR="005D2598" w:rsidRDefault="005D2598" w:rsidP="005D2598">
      <w:pPr>
        <w:widowControl w:val="0"/>
        <w:ind w:right="-93"/>
        <w:jc w:val="both"/>
        <w:rPr>
          <w:rFonts w:eastAsia="Calibri" w:cs="Arial"/>
        </w:rPr>
      </w:pPr>
    </w:p>
    <w:p w14:paraId="2593BF41" w14:textId="77777777" w:rsidR="005D2598" w:rsidRDefault="005D2598" w:rsidP="005D2598">
      <w:pPr>
        <w:widowControl w:val="0"/>
        <w:ind w:right="616"/>
        <w:jc w:val="both"/>
        <w:rPr>
          <w:rFonts w:eastAsia="Calibri" w:cs="Arial"/>
        </w:rPr>
      </w:pPr>
    </w:p>
    <w:p w14:paraId="301CE972" w14:textId="77777777" w:rsidR="005D2598" w:rsidRPr="0045028A" w:rsidRDefault="005D2598" w:rsidP="005D2598">
      <w:pPr>
        <w:pStyle w:val="Prrafodelista"/>
        <w:numPr>
          <w:ilvl w:val="0"/>
          <w:numId w:val="17"/>
        </w:numPr>
        <w:spacing w:after="0" w:line="240" w:lineRule="auto"/>
        <w:rPr>
          <w:rFonts w:cs="Arial"/>
          <w:b/>
          <w:bCs/>
          <w:lang w:val="es-CR"/>
        </w:rPr>
      </w:pPr>
      <w:r w:rsidRPr="0045028A">
        <w:rPr>
          <w:rFonts w:cs="Arial"/>
          <w:b/>
          <w:bCs/>
          <w:lang w:val="es-CR"/>
        </w:rPr>
        <w:t>Se modifica el artículo 10. Traspaso de valores, para que en adelante se lea como sigue:</w:t>
      </w:r>
    </w:p>
    <w:p w14:paraId="6034832B" w14:textId="77777777" w:rsidR="005D2598" w:rsidRDefault="005D2598" w:rsidP="005D2598">
      <w:pPr>
        <w:ind w:left="360"/>
        <w:rPr>
          <w:rFonts w:cs="Arial"/>
        </w:rPr>
      </w:pPr>
    </w:p>
    <w:p w14:paraId="5998F0C5" w14:textId="77777777" w:rsidR="005D2598" w:rsidRPr="0045028A" w:rsidRDefault="005D2598" w:rsidP="005D2598">
      <w:pPr>
        <w:pStyle w:val="Prrafodelista"/>
        <w:numPr>
          <w:ilvl w:val="0"/>
          <w:numId w:val="19"/>
        </w:numPr>
        <w:spacing w:after="0" w:line="240" w:lineRule="auto"/>
        <w:jc w:val="both"/>
        <w:rPr>
          <w:rFonts w:cs="Arial"/>
          <w:color w:val="000000"/>
        </w:rPr>
      </w:pPr>
      <w:r w:rsidRPr="0045028A">
        <w:rPr>
          <w:rFonts w:cs="Arial"/>
          <w:i/>
          <w:iCs/>
          <w:color w:val="000000"/>
          <w:lang w:val="es-CR"/>
        </w:rPr>
        <w:t>Traspaso con cambio de titularidad</w:t>
      </w:r>
      <w:r w:rsidRPr="0045028A">
        <w:rPr>
          <w:rFonts w:cs="Arial"/>
          <w:color w:val="000000"/>
          <w:lang w:val="es-CR"/>
        </w:rPr>
        <w:t xml:space="preserve"> hacia otro custodio o en el mismo custodio, para los cuales se debe contar con la documentación legal necesaria que fundamente el  origen del traspaso.  </w:t>
      </w:r>
      <w:r w:rsidRPr="0045028A">
        <w:rPr>
          <w:rFonts w:cs="Arial"/>
          <w:color w:val="000000"/>
        </w:rPr>
        <w:t>Tales traspasos son los siguientes:</w:t>
      </w:r>
    </w:p>
    <w:p w14:paraId="5B59A1D6" w14:textId="77777777" w:rsidR="005D2598" w:rsidRDefault="005D2598" w:rsidP="005D2598">
      <w:pPr>
        <w:ind w:left="360" w:firstLine="348"/>
        <w:rPr>
          <w:rFonts w:cs="Arial"/>
        </w:rPr>
      </w:pPr>
    </w:p>
    <w:p w14:paraId="18A27AA4" w14:textId="77777777" w:rsidR="005D2598" w:rsidRDefault="005D2598" w:rsidP="005D2598">
      <w:pPr>
        <w:ind w:left="360" w:firstLine="348"/>
        <w:rPr>
          <w:rFonts w:cs="Arial"/>
        </w:rPr>
      </w:pPr>
      <w:r>
        <w:rPr>
          <w:rFonts w:cs="Arial"/>
        </w:rPr>
        <w:t>(…)</w:t>
      </w:r>
    </w:p>
    <w:p w14:paraId="2C47AEA2" w14:textId="77777777" w:rsidR="005D2598" w:rsidRPr="0045028A" w:rsidRDefault="005D2598" w:rsidP="005D2598">
      <w:pPr>
        <w:ind w:left="708"/>
        <w:rPr>
          <w:rFonts w:cs="Arial"/>
        </w:rPr>
      </w:pPr>
      <w:r>
        <w:rPr>
          <w:rFonts w:cs="Arial"/>
        </w:rPr>
        <w:t>x. Traslado de valores de una cuenta especial de custodia de emisores accionarios a una cuenta de custodia de un inversionista.</w:t>
      </w:r>
    </w:p>
    <w:p w14:paraId="55035A83" w14:textId="77777777" w:rsidR="005D2598" w:rsidRDefault="005D2598" w:rsidP="005D2598">
      <w:pPr>
        <w:pStyle w:val="Prrafodelista"/>
        <w:rPr>
          <w:rFonts w:cs="Arial"/>
          <w:b/>
          <w:bCs/>
          <w:lang w:val="es-CR"/>
        </w:rPr>
      </w:pPr>
    </w:p>
    <w:p w14:paraId="7CB42F60" w14:textId="77777777" w:rsidR="005D2598" w:rsidRPr="0045028A" w:rsidRDefault="005D2598" w:rsidP="005D2598">
      <w:pPr>
        <w:pStyle w:val="Prrafodelista"/>
        <w:rPr>
          <w:rFonts w:cs="Arial"/>
          <w:lang w:val="es-CR"/>
        </w:rPr>
      </w:pPr>
      <w:r w:rsidRPr="0045028A">
        <w:rPr>
          <w:rFonts w:cs="Arial"/>
          <w:lang w:val="es-CR"/>
        </w:rPr>
        <w:t>(…)</w:t>
      </w:r>
    </w:p>
    <w:p w14:paraId="278A6346" w14:textId="77777777" w:rsidR="005D2598" w:rsidRDefault="005D2598" w:rsidP="005D2598">
      <w:pPr>
        <w:pStyle w:val="Prrafodelista"/>
        <w:rPr>
          <w:rFonts w:cs="Arial"/>
          <w:b/>
          <w:bCs/>
          <w:lang w:val="es-CR"/>
        </w:rPr>
      </w:pPr>
    </w:p>
    <w:p w14:paraId="030F2F67" w14:textId="77777777" w:rsidR="005D2598" w:rsidRPr="00DD6C3A" w:rsidRDefault="005D2598" w:rsidP="005D2598">
      <w:pPr>
        <w:pStyle w:val="Prrafodelista"/>
        <w:numPr>
          <w:ilvl w:val="0"/>
          <w:numId w:val="17"/>
        </w:numPr>
        <w:spacing w:after="0" w:line="240" w:lineRule="auto"/>
        <w:jc w:val="both"/>
        <w:rPr>
          <w:rFonts w:cs="Arial"/>
          <w:b/>
          <w:bCs/>
          <w:lang w:val="es-CR"/>
        </w:rPr>
      </w:pPr>
      <w:r w:rsidRPr="00DD6C3A">
        <w:rPr>
          <w:rFonts w:cs="Arial"/>
          <w:b/>
          <w:bCs/>
          <w:lang w:val="es-CR"/>
        </w:rPr>
        <w:t>Se cambia la numeración de los artículos 13 y 14 actuales, como sigue:</w:t>
      </w:r>
    </w:p>
    <w:p w14:paraId="789A3404" w14:textId="77777777" w:rsidR="005D2598" w:rsidRDefault="005D2598" w:rsidP="005D2598">
      <w:pPr>
        <w:pStyle w:val="Prrafodelista"/>
        <w:rPr>
          <w:rFonts w:cs="Arial"/>
          <w:lang w:val="es-CR"/>
        </w:rPr>
      </w:pPr>
    </w:p>
    <w:p w14:paraId="4ECA8719" w14:textId="77777777" w:rsidR="005D2598" w:rsidRDefault="005D2598" w:rsidP="005D2598">
      <w:pPr>
        <w:pStyle w:val="Prrafodelista"/>
        <w:ind w:left="426"/>
        <w:rPr>
          <w:rFonts w:cs="Arial"/>
          <w:lang w:val="es-CR"/>
        </w:rPr>
      </w:pPr>
      <w:r>
        <w:rPr>
          <w:rFonts w:cs="Arial"/>
          <w:lang w:val="es-CR"/>
        </w:rPr>
        <w:t>El artículo 13 actual en adelante será el 14 y el artículo 14 actual en adelante será el 15.</w:t>
      </w:r>
    </w:p>
    <w:p w14:paraId="4AADAE69" w14:textId="77777777" w:rsidR="005D2598" w:rsidRDefault="005D2598" w:rsidP="005D2598">
      <w:pPr>
        <w:pStyle w:val="Prrafodelista"/>
        <w:ind w:left="426"/>
        <w:rPr>
          <w:rFonts w:cs="Arial"/>
          <w:lang w:val="es-CR"/>
        </w:rPr>
      </w:pPr>
    </w:p>
    <w:p w14:paraId="0408D44E" w14:textId="77777777" w:rsidR="005D2598" w:rsidRDefault="005D2598" w:rsidP="005D2598">
      <w:pPr>
        <w:pStyle w:val="Prrafodelista"/>
        <w:ind w:left="426"/>
        <w:rPr>
          <w:rFonts w:cs="Arial"/>
          <w:lang w:val="es-CR"/>
        </w:rPr>
      </w:pPr>
    </w:p>
    <w:p w14:paraId="61C565DD" w14:textId="77777777" w:rsidR="005D2598" w:rsidRPr="00DE78CF" w:rsidRDefault="005D2598" w:rsidP="005D2598">
      <w:pPr>
        <w:pStyle w:val="Prrafodelista"/>
        <w:ind w:left="426"/>
        <w:rPr>
          <w:rFonts w:cs="Arial"/>
          <w:b/>
          <w:bCs/>
          <w:lang w:val="es-CR"/>
        </w:rPr>
      </w:pPr>
      <w:r w:rsidRPr="00DE78CF">
        <w:rPr>
          <w:rFonts w:cs="Arial"/>
          <w:b/>
          <w:bCs/>
          <w:lang w:val="es-CR"/>
        </w:rPr>
        <w:t>Vigencia</w:t>
      </w:r>
    </w:p>
    <w:p w14:paraId="6CE1AB98" w14:textId="77777777" w:rsidR="005D2598" w:rsidRDefault="005D2598" w:rsidP="005D2598">
      <w:pPr>
        <w:pStyle w:val="Prrafodelista"/>
        <w:ind w:left="426"/>
        <w:rPr>
          <w:rFonts w:cs="Arial"/>
          <w:lang w:val="es-CR"/>
        </w:rPr>
      </w:pPr>
    </w:p>
    <w:p w14:paraId="2880DE08" w14:textId="77777777" w:rsidR="005D2598" w:rsidRPr="00BD24D5" w:rsidRDefault="005D2598" w:rsidP="005D2598">
      <w:pPr>
        <w:pStyle w:val="Prrafodelista"/>
        <w:ind w:left="426"/>
        <w:rPr>
          <w:rFonts w:cs="Arial"/>
          <w:lang w:val="es-CR"/>
        </w:rPr>
      </w:pPr>
      <w:r>
        <w:rPr>
          <w:rFonts w:cs="Arial"/>
          <w:lang w:val="es-CR"/>
        </w:rPr>
        <w:t>Rige a partir de su publicación.</w:t>
      </w:r>
    </w:p>
    <w:p w14:paraId="0556C97B" w14:textId="77777777" w:rsidR="003D4EB0" w:rsidRPr="005D2598" w:rsidRDefault="003D4EB0" w:rsidP="007A797F">
      <w:pPr>
        <w:spacing w:after="0" w:line="276" w:lineRule="auto"/>
        <w:rPr>
          <w:rFonts w:cs="Arial"/>
          <w:lang w:val="es-CR"/>
        </w:rPr>
      </w:pPr>
    </w:p>
    <w:sectPr w:rsidR="003D4EB0" w:rsidRPr="005D2598" w:rsidSect="00A2645B">
      <w:headerReference w:type="even" r:id="rId11"/>
      <w:headerReference w:type="default" r:id="rId12"/>
      <w:footerReference w:type="even" r:id="rId13"/>
      <w:footerReference w:type="default" r:id="rId14"/>
      <w:headerReference w:type="first" r:id="rId15"/>
      <w:footerReference w:type="first" r:id="rId16"/>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5E9F6" w14:textId="77777777" w:rsidR="005B6E9C" w:rsidRDefault="005B6E9C" w:rsidP="00E7324F">
      <w:pPr>
        <w:spacing w:after="0" w:line="240" w:lineRule="auto"/>
      </w:pPr>
      <w:r>
        <w:separator/>
      </w:r>
    </w:p>
  </w:endnote>
  <w:endnote w:type="continuationSeparator" w:id="0">
    <w:p w14:paraId="6987ED84" w14:textId="77777777" w:rsidR="005B6E9C" w:rsidRDefault="005B6E9C" w:rsidP="00E73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ABFE5" w14:textId="77777777" w:rsidR="005D2598" w:rsidRDefault="005D259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D5911" w14:textId="77777777" w:rsidR="00691B81" w:rsidRPr="00DB7129" w:rsidRDefault="00691B81" w:rsidP="00691B81">
    <w:pPr>
      <w:pStyle w:val="Piedepgina"/>
      <w:rPr>
        <w:rFonts w:cs="Arial"/>
        <w:color w:val="1B75BB"/>
      </w:rPr>
    </w:pPr>
    <w:r w:rsidRPr="00DB7129">
      <w:rPr>
        <w:rFonts w:cs="Arial"/>
        <w:color w:val="1B75BB"/>
      </w:rPr>
      <w:t xml:space="preserve">| </w:t>
    </w:r>
    <w:r w:rsidRPr="00DB7129">
      <w:rPr>
        <w:rFonts w:cs="Arial"/>
        <w:color w:val="1B75BB"/>
      </w:rPr>
      <w:fldChar w:fldCharType="begin"/>
    </w:r>
    <w:r w:rsidRPr="00DB7129">
      <w:rPr>
        <w:rFonts w:cs="Arial"/>
        <w:color w:val="1B75BB"/>
      </w:rPr>
      <w:instrText xml:space="preserve"> PAGE   \* MERGEFORMAT </w:instrText>
    </w:r>
    <w:r w:rsidRPr="00DB7129">
      <w:rPr>
        <w:rFonts w:cs="Arial"/>
        <w:color w:val="1B75BB"/>
      </w:rPr>
      <w:fldChar w:fldCharType="separate"/>
    </w:r>
    <w:r w:rsidR="009C7F98">
      <w:rPr>
        <w:rFonts w:cs="Arial"/>
        <w:noProof/>
        <w:color w:val="1B75BB"/>
      </w:rPr>
      <w:t>4</w:t>
    </w:r>
    <w:r w:rsidRPr="00DB7129">
      <w:rPr>
        <w:rFonts w:cs="Arial"/>
        <w:noProof/>
        <w:color w:val="1B75BB"/>
      </w:rPr>
      <w:fldChar w:fldCharType="end"/>
    </w:r>
  </w:p>
  <w:p w14:paraId="47BED038" w14:textId="77777777" w:rsidR="00691B81" w:rsidRDefault="00691B8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8945B6" w14:textId="77777777" w:rsidR="005D2598" w:rsidRDefault="005D25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BE89C0" w14:textId="77777777" w:rsidR="005B6E9C" w:rsidRDefault="005B6E9C" w:rsidP="00E7324F">
      <w:pPr>
        <w:spacing w:after="0" w:line="240" w:lineRule="auto"/>
      </w:pPr>
      <w:r>
        <w:separator/>
      </w:r>
    </w:p>
  </w:footnote>
  <w:footnote w:type="continuationSeparator" w:id="0">
    <w:p w14:paraId="6EC0FE65" w14:textId="77777777" w:rsidR="005B6E9C" w:rsidRDefault="005B6E9C" w:rsidP="00E7324F">
      <w:pPr>
        <w:spacing w:after="0" w:line="240" w:lineRule="auto"/>
      </w:pPr>
      <w:r>
        <w:continuationSeparator/>
      </w:r>
    </w:p>
  </w:footnote>
  <w:footnote w:id="1">
    <w:p w14:paraId="72D29D76" w14:textId="28A97A54" w:rsidR="005D2598" w:rsidRPr="00797A41" w:rsidRDefault="005D2598" w:rsidP="005D2598">
      <w:pPr>
        <w:pStyle w:val="Textonotapie"/>
        <w:rPr>
          <w:lang w:val="es-CR"/>
        </w:rPr>
      </w:pPr>
      <w:r w:rsidRPr="00053CCC">
        <w:rPr>
          <w:rStyle w:val="Refdenotaalpie"/>
        </w:rPr>
        <w:footnoteRef/>
      </w:r>
      <w:r w:rsidRPr="00053CCC">
        <w:t xml:space="preserve"> </w:t>
      </w:r>
      <w:r w:rsidR="007F52F9">
        <w:rPr>
          <w:rFonts w:cs="Arial"/>
        </w:rPr>
        <w:t xml:space="preserve">Superintendencia General de Valores.  Despacho del Superintendente.  </w:t>
      </w:r>
      <w:r w:rsidR="007F52F9">
        <w:rPr>
          <w:rFonts w:cs="Arial"/>
          <w:iCs/>
          <w:noProof/>
          <w:lang w:val="es-ES_tradnl"/>
        </w:rPr>
        <w:t>Al ser las  dieciseis  horas con 10 minutos del 4 mayo del dos mil veintidós.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A07FE" w14:textId="77777777" w:rsidR="005D2598" w:rsidRDefault="005D259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0B8813DD" w14:textId="77777777" w:rsidR="00A2645B" w:rsidRPr="00A2645B" w:rsidRDefault="00A2645B" w:rsidP="00A2645B">
        <w:pPr>
          <w:pStyle w:val="Encabezado"/>
          <w:jc w:val="right"/>
          <w:rPr>
            <w:rFonts w:eastAsia="Times New Roman" w:cs="Arial"/>
            <w:i/>
            <w:sz w:val="20"/>
            <w:szCs w:val="20"/>
            <w:lang w:eastAsia="es-ES"/>
          </w:rPr>
        </w:pPr>
        <w:r w:rsidRPr="00A2645B">
          <w:rPr>
            <w:rFonts w:ascii="Calibri" w:eastAsia="Times New Roman" w:hAnsi="Calibri" w:cs="Arial"/>
            <w:i/>
            <w:noProof/>
            <w:sz w:val="20"/>
            <w:szCs w:val="20"/>
            <w:lang w:val="es-CR" w:eastAsia="es-CR"/>
          </w:rPr>
          <w:drawing>
            <wp:inline distT="0" distB="0" distL="0" distR="0" wp14:anchorId="38AAAC10" wp14:editId="0697AE78">
              <wp:extent cx="1581150" cy="390525"/>
              <wp:effectExtent l="0" t="0" r="0" b="9525"/>
              <wp:docPr id="5" name="Picture 5"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390525"/>
                      </a:xfrm>
                      <a:prstGeom prst="rect">
                        <a:avLst/>
                      </a:prstGeom>
                      <a:noFill/>
                      <a:ln>
                        <a:noFill/>
                      </a:ln>
                    </pic:spPr>
                  </pic:pic>
                </a:graphicData>
              </a:graphic>
            </wp:inline>
          </w:drawing>
        </w:r>
      </w:p>
      <w:p w14:paraId="7E6EB66F" w14:textId="77777777" w:rsidR="002F7008" w:rsidRDefault="00A2645B" w:rsidP="00A2645B">
        <w:pPr>
          <w:tabs>
            <w:tab w:val="center" w:pos="4252"/>
            <w:tab w:val="right" w:pos="8504"/>
          </w:tabs>
          <w:spacing w:after="0" w:line="240" w:lineRule="auto"/>
          <w:jc w:val="right"/>
        </w:pPr>
        <w:r w:rsidRPr="00A2645B">
          <w:rPr>
            <w:rFonts w:ascii="Times New Roman" w:eastAsia="Arial Unicode MS" w:hAnsi="Times New Roman" w:cs="Times New Roman"/>
            <w:noProof/>
            <w:szCs w:val="24"/>
            <w:lang w:val="es-CR" w:eastAsia="es-CR"/>
          </w:rPr>
          <mc:AlternateContent>
            <mc:Choice Requires="wps">
              <w:drawing>
                <wp:anchor distT="4294967292" distB="4294967292" distL="114300" distR="114300" simplePos="0" relativeHeight="251661312" behindDoc="0" locked="0" layoutInCell="1" allowOverlap="1" wp14:anchorId="040CDE1B" wp14:editId="7CB1613C">
                  <wp:simplePos x="0" y="0"/>
                  <wp:positionH relativeFrom="margin">
                    <wp:align>right</wp:align>
                  </wp:positionH>
                  <wp:positionV relativeFrom="paragraph">
                    <wp:posOffset>66675</wp:posOffset>
                  </wp:positionV>
                  <wp:extent cx="5459730" cy="0"/>
                  <wp:effectExtent l="0" t="0" r="266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59730" cy="0"/>
                          </a:xfrm>
                          <a:prstGeom prst="line">
                            <a:avLst/>
                          </a:prstGeom>
                          <a:noFill/>
                          <a:ln w="19050">
                            <a:solidFill>
                              <a:srgbClr val="1B75B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9C6DF" id="Straight Connector 4" o:spid="_x0000_s1026" style="position:absolute;flip:y;z-index:251661312;visibility:visible;mso-wrap-style:square;mso-width-percent:0;mso-height-percent:0;mso-wrap-distance-left:9pt;mso-wrap-distance-top:-1e-4mm;mso-wrap-distance-right:9pt;mso-wrap-distance-bottom:-1e-4mm;mso-position-horizontal:right;mso-position-horizontal-relative:margin;mso-position-vertical:absolute;mso-position-vertical-relative:text;mso-width-percent:0;mso-height-percent:0;mso-width-relative:page;mso-height-relative:page" from="378.7pt,5.25pt" to="808.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SxNKAIAAEEEAAAOAAAAZHJzL2Uyb0RvYy54bWysU02P2yAQvVfqf0C+J7azTjax4qwa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" strokecolor="#1b75bb" strokeweight="1.5pt">
                  <w10:wrap anchorx="margin"/>
                </v:line>
              </w:pict>
            </mc:Fallback>
          </mc:AlternateContent>
        </w:r>
      </w:p>
    </w:sdtContent>
  </w:sdt>
  <w:p w14:paraId="7859C685" w14:textId="77777777" w:rsidR="002F7008" w:rsidRDefault="002F700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80CCD" w14:textId="77777777" w:rsidR="005D2598" w:rsidRDefault="005D259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32A0C"/>
    <w:multiLevelType w:val="hybridMultilevel"/>
    <w:tmpl w:val="4C2ED8D4"/>
    <w:lvl w:ilvl="0" w:tplc="C1C42DD0">
      <w:start w:val="1"/>
      <w:numFmt w:val="decimal"/>
      <w:pStyle w:val="Numeracin"/>
      <w:lvlText w:val="%1."/>
      <w:lvlJc w:val="left"/>
      <w:pPr>
        <w:ind w:left="360" w:hanging="360"/>
      </w:pPr>
      <w:rPr>
        <w:b w:val="0"/>
        <w:lang w:val="es-E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3044E"/>
    <w:multiLevelType w:val="hybridMultilevel"/>
    <w:tmpl w:val="C29207AE"/>
    <w:lvl w:ilvl="0" w:tplc="332C6928">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AEE57E0"/>
    <w:multiLevelType w:val="hybridMultilevel"/>
    <w:tmpl w:val="FE800A66"/>
    <w:lvl w:ilvl="0" w:tplc="BC3E2494">
      <w:start w:val="1"/>
      <w:numFmt w:val="lowerLetter"/>
      <w:lvlText w:val="%1)"/>
      <w:lvlJc w:val="left"/>
      <w:pPr>
        <w:ind w:left="720" w:hanging="360"/>
      </w:pPr>
      <w:rPr>
        <w:rFonts w:ascii="Arial" w:hAnsi="Arial" w:hint="default"/>
        <w:b w:val="0"/>
        <w:i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1C442405"/>
    <w:multiLevelType w:val="hybridMultilevel"/>
    <w:tmpl w:val="2E0611C8"/>
    <w:lvl w:ilvl="0" w:tplc="140A0001">
      <w:start w:val="1"/>
      <w:numFmt w:val="bullet"/>
      <w:lvlText w:val=""/>
      <w:lvlJc w:val="left"/>
      <w:pPr>
        <w:ind w:left="1636" w:hanging="360"/>
      </w:pPr>
      <w:rPr>
        <w:rFonts w:ascii="Symbol" w:hAnsi="Symbol" w:hint="default"/>
      </w:rPr>
    </w:lvl>
    <w:lvl w:ilvl="1" w:tplc="140A0003">
      <w:start w:val="1"/>
      <w:numFmt w:val="bullet"/>
      <w:lvlText w:val="o"/>
      <w:lvlJc w:val="left"/>
      <w:pPr>
        <w:ind w:left="2356" w:hanging="360"/>
      </w:pPr>
      <w:rPr>
        <w:rFonts w:ascii="Courier New" w:hAnsi="Courier New" w:cs="Courier New" w:hint="default"/>
      </w:rPr>
    </w:lvl>
    <w:lvl w:ilvl="2" w:tplc="140A0005" w:tentative="1">
      <w:start w:val="1"/>
      <w:numFmt w:val="bullet"/>
      <w:lvlText w:val=""/>
      <w:lvlJc w:val="left"/>
      <w:pPr>
        <w:ind w:left="3076" w:hanging="360"/>
      </w:pPr>
      <w:rPr>
        <w:rFonts w:ascii="Wingdings" w:hAnsi="Wingdings" w:hint="default"/>
      </w:rPr>
    </w:lvl>
    <w:lvl w:ilvl="3" w:tplc="140A0001" w:tentative="1">
      <w:start w:val="1"/>
      <w:numFmt w:val="bullet"/>
      <w:lvlText w:val=""/>
      <w:lvlJc w:val="left"/>
      <w:pPr>
        <w:ind w:left="3796" w:hanging="360"/>
      </w:pPr>
      <w:rPr>
        <w:rFonts w:ascii="Symbol" w:hAnsi="Symbol" w:hint="default"/>
      </w:rPr>
    </w:lvl>
    <w:lvl w:ilvl="4" w:tplc="140A0003" w:tentative="1">
      <w:start w:val="1"/>
      <w:numFmt w:val="bullet"/>
      <w:lvlText w:val="o"/>
      <w:lvlJc w:val="left"/>
      <w:pPr>
        <w:ind w:left="4516" w:hanging="360"/>
      </w:pPr>
      <w:rPr>
        <w:rFonts w:ascii="Courier New" w:hAnsi="Courier New" w:cs="Courier New" w:hint="default"/>
      </w:rPr>
    </w:lvl>
    <w:lvl w:ilvl="5" w:tplc="140A0005" w:tentative="1">
      <w:start w:val="1"/>
      <w:numFmt w:val="bullet"/>
      <w:lvlText w:val=""/>
      <w:lvlJc w:val="left"/>
      <w:pPr>
        <w:ind w:left="5236" w:hanging="360"/>
      </w:pPr>
      <w:rPr>
        <w:rFonts w:ascii="Wingdings" w:hAnsi="Wingdings" w:hint="default"/>
      </w:rPr>
    </w:lvl>
    <w:lvl w:ilvl="6" w:tplc="140A0001" w:tentative="1">
      <w:start w:val="1"/>
      <w:numFmt w:val="bullet"/>
      <w:lvlText w:val=""/>
      <w:lvlJc w:val="left"/>
      <w:pPr>
        <w:ind w:left="5956" w:hanging="360"/>
      </w:pPr>
      <w:rPr>
        <w:rFonts w:ascii="Symbol" w:hAnsi="Symbol" w:hint="default"/>
      </w:rPr>
    </w:lvl>
    <w:lvl w:ilvl="7" w:tplc="140A0003" w:tentative="1">
      <w:start w:val="1"/>
      <w:numFmt w:val="bullet"/>
      <w:lvlText w:val="o"/>
      <w:lvlJc w:val="left"/>
      <w:pPr>
        <w:ind w:left="6676" w:hanging="360"/>
      </w:pPr>
      <w:rPr>
        <w:rFonts w:ascii="Courier New" w:hAnsi="Courier New" w:cs="Courier New" w:hint="default"/>
      </w:rPr>
    </w:lvl>
    <w:lvl w:ilvl="8" w:tplc="140A0005" w:tentative="1">
      <w:start w:val="1"/>
      <w:numFmt w:val="bullet"/>
      <w:lvlText w:val=""/>
      <w:lvlJc w:val="left"/>
      <w:pPr>
        <w:ind w:left="7396" w:hanging="360"/>
      </w:pPr>
      <w:rPr>
        <w:rFonts w:ascii="Wingdings" w:hAnsi="Wingdings" w:hint="default"/>
      </w:rPr>
    </w:lvl>
  </w:abstractNum>
  <w:abstractNum w:abstractNumId="4" w15:restartNumberingAfterBreak="0">
    <w:nsid w:val="1F14766D"/>
    <w:multiLevelType w:val="hybridMultilevel"/>
    <w:tmpl w:val="A64AE5DC"/>
    <w:lvl w:ilvl="0" w:tplc="F3D601A0">
      <w:start w:val="1"/>
      <w:numFmt w:val="low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23897DFC"/>
    <w:multiLevelType w:val="hybridMultilevel"/>
    <w:tmpl w:val="1346DB1C"/>
    <w:lvl w:ilvl="0" w:tplc="98C40438">
      <w:start w:val="8"/>
      <w:numFmt w:val="low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8737329"/>
    <w:multiLevelType w:val="hybridMultilevel"/>
    <w:tmpl w:val="09488A58"/>
    <w:lvl w:ilvl="0" w:tplc="CF94D528">
      <w:start w:val="1"/>
      <w:numFmt w:val="low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2F992F2D"/>
    <w:multiLevelType w:val="hybridMultilevel"/>
    <w:tmpl w:val="B8123400"/>
    <w:lvl w:ilvl="0" w:tplc="140A0017">
      <w:start w:val="4"/>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2FF17D31"/>
    <w:multiLevelType w:val="hybridMultilevel"/>
    <w:tmpl w:val="DA06C6C6"/>
    <w:lvl w:ilvl="0" w:tplc="201E7BE0">
      <w:start w:val="2"/>
      <w:numFmt w:val="lowerLetter"/>
      <w:lvlText w:val="%1)"/>
      <w:lvlJc w:val="left"/>
      <w:pPr>
        <w:ind w:left="720" w:hanging="360"/>
      </w:pPr>
      <w:rPr>
        <w:rFonts w:hint="default"/>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52357916"/>
    <w:multiLevelType w:val="hybridMultilevel"/>
    <w:tmpl w:val="2898BA9A"/>
    <w:lvl w:ilvl="0" w:tplc="6DAA9C82">
      <w:start w:val="1"/>
      <w:numFmt w:val="lowerLetter"/>
      <w:lvlText w:val="%1)"/>
      <w:lvlJc w:val="left"/>
      <w:pPr>
        <w:ind w:left="720" w:hanging="360"/>
      </w:pPr>
      <w:rPr>
        <w:rFonts w:ascii="Arial" w:hAnsi="Arial" w:hint="default"/>
        <w:b w:val="0"/>
        <w:i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5C4E6752"/>
    <w:multiLevelType w:val="hybridMultilevel"/>
    <w:tmpl w:val="0010B84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05E3D52"/>
    <w:multiLevelType w:val="hybridMultilevel"/>
    <w:tmpl w:val="7294F75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63975ABD"/>
    <w:multiLevelType w:val="hybridMultilevel"/>
    <w:tmpl w:val="C05ACDB0"/>
    <w:lvl w:ilvl="0" w:tplc="9F7A7D56">
      <w:start w:val="2"/>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684D3288"/>
    <w:multiLevelType w:val="hybridMultilevel"/>
    <w:tmpl w:val="816A349A"/>
    <w:lvl w:ilvl="0" w:tplc="369EAD52">
      <w:start w:val="1"/>
      <w:numFmt w:val="lowerLetter"/>
      <w:lvlText w:val="%1)"/>
      <w:lvlJc w:val="left"/>
      <w:pPr>
        <w:ind w:left="720" w:hanging="360"/>
      </w:pPr>
      <w:rPr>
        <w:rFonts w:ascii="Arial" w:hAnsi="Arial" w:hint="default"/>
        <w:b w:val="0"/>
        <w:i w:val="0"/>
        <w:sz w:val="22"/>
        <w:szCs w:val="22"/>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6CBC338B"/>
    <w:multiLevelType w:val="hybridMultilevel"/>
    <w:tmpl w:val="C0760CB6"/>
    <w:lvl w:ilvl="0" w:tplc="9910950E">
      <w:start w:val="1"/>
      <w:numFmt w:val="upperRoman"/>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6D134A02"/>
    <w:multiLevelType w:val="hybridMultilevel"/>
    <w:tmpl w:val="085E7D38"/>
    <w:lvl w:ilvl="0" w:tplc="36A81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B248B3"/>
    <w:multiLevelType w:val="hybridMultilevel"/>
    <w:tmpl w:val="CB8A1CAE"/>
    <w:lvl w:ilvl="0" w:tplc="9C48EB9E">
      <w:start w:val="2"/>
      <w:numFmt w:val="lowerLetter"/>
      <w:lvlText w:val="%1)"/>
      <w:lvlJc w:val="left"/>
      <w:pPr>
        <w:ind w:left="720" w:hanging="360"/>
      </w:pPr>
      <w:rPr>
        <w:rFonts w:hint="default"/>
        <w:i/>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77595FC9"/>
    <w:multiLevelType w:val="singleLevel"/>
    <w:tmpl w:val="04090013"/>
    <w:lvl w:ilvl="0">
      <w:start w:val="1"/>
      <w:numFmt w:val="upperRoman"/>
      <w:lvlText w:val="%1."/>
      <w:lvlJc w:val="left"/>
      <w:pPr>
        <w:tabs>
          <w:tab w:val="num" w:pos="720"/>
        </w:tabs>
        <w:ind w:left="720" w:hanging="720"/>
      </w:pPr>
    </w:lvl>
  </w:abstractNum>
  <w:num w:numId="1">
    <w:abstractNumId w:val="17"/>
  </w:num>
  <w:num w:numId="2">
    <w:abstractNumId w:val="0"/>
  </w:num>
  <w:num w:numId="3">
    <w:abstractNumId w:val="1"/>
  </w:num>
  <w:num w:numId="4">
    <w:abstractNumId w:val="2"/>
  </w:num>
  <w:num w:numId="5">
    <w:abstractNumId w:val="4"/>
  </w:num>
  <w:num w:numId="6">
    <w:abstractNumId w:val="6"/>
  </w:num>
  <w:num w:numId="7">
    <w:abstractNumId w:val="3"/>
  </w:num>
  <w:num w:numId="8">
    <w:abstractNumId w:val="11"/>
  </w:num>
  <w:num w:numId="9">
    <w:abstractNumId w:val="13"/>
  </w:num>
  <w:num w:numId="10">
    <w:abstractNumId w:val="9"/>
  </w:num>
  <w:num w:numId="11">
    <w:abstractNumId w:val="15"/>
  </w:num>
  <w:num w:numId="12">
    <w:abstractNumId w:val="12"/>
  </w:num>
  <w:num w:numId="13">
    <w:abstractNumId w:val="8"/>
  </w:num>
  <w:num w:numId="14">
    <w:abstractNumId w:val="7"/>
  </w:num>
  <w:num w:numId="15">
    <w:abstractNumId w:val="14"/>
  </w:num>
  <w:num w:numId="16">
    <w:abstractNumId w:val="5"/>
  </w:num>
  <w:num w:numId="17">
    <w:abstractNumId w:val="10"/>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EB0"/>
    <w:rsid w:val="00034106"/>
    <w:rsid w:val="00053CCC"/>
    <w:rsid w:val="00057D2E"/>
    <w:rsid w:val="00084C92"/>
    <w:rsid w:val="000A3E22"/>
    <w:rsid w:val="001857BA"/>
    <w:rsid w:val="001D3B66"/>
    <w:rsid w:val="001E4D8E"/>
    <w:rsid w:val="002019D9"/>
    <w:rsid w:val="00235115"/>
    <w:rsid w:val="00245C3D"/>
    <w:rsid w:val="002B3B6E"/>
    <w:rsid w:val="002D21B9"/>
    <w:rsid w:val="002F7008"/>
    <w:rsid w:val="00352FE4"/>
    <w:rsid w:val="003D3CAC"/>
    <w:rsid w:val="003D4EB0"/>
    <w:rsid w:val="00413618"/>
    <w:rsid w:val="00501656"/>
    <w:rsid w:val="005407C9"/>
    <w:rsid w:val="00540C50"/>
    <w:rsid w:val="005835F5"/>
    <w:rsid w:val="005A3353"/>
    <w:rsid w:val="005B6E9C"/>
    <w:rsid w:val="005D2598"/>
    <w:rsid w:val="005F3D29"/>
    <w:rsid w:val="006264BE"/>
    <w:rsid w:val="006354D1"/>
    <w:rsid w:val="00675FF0"/>
    <w:rsid w:val="00691B81"/>
    <w:rsid w:val="007A797F"/>
    <w:rsid w:val="007C7029"/>
    <w:rsid w:val="007F52F9"/>
    <w:rsid w:val="00813C64"/>
    <w:rsid w:val="008B7FD3"/>
    <w:rsid w:val="008E1C9A"/>
    <w:rsid w:val="00941532"/>
    <w:rsid w:val="009470B2"/>
    <w:rsid w:val="00997ED4"/>
    <w:rsid w:val="009B516B"/>
    <w:rsid w:val="009C7F98"/>
    <w:rsid w:val="00A2645B"/>
    <w:rsid w:val="00A32443"/>
    <w:rsid w:val="00A3267A"/>
    <w:rsid w:val="00A54F3F"/>
    <w:rsid w:val="00A85C75"/>
    <w:rsid w:val="00AB35B4"/>
    <w:rsid w:val="00BC7F80"/>
    <w:rsid w:val="00C707B8"/>
    <w:rsid w:val="00C73197"/>
    <w:rsid w:val="00D3511B"/>
    <w:rsid w:val="00D50369"/>
    <w:rsid w:val="00D6678B"/>
    <w:rsid w:val="00DB210D"/>
    <w:rsid w:val="00DB5C42"/>
    <w:rsid w:val="00E2313C"/>
    <w:rsid w:val="00E42434"/>
    <w:rsid w:val="00E50A4A"/>
    <w:rsid w:val="00E7324F"/>
    <w:rsid w:val="00E8781E"/>
    <w:rsid w:val="00EC2B60"/>
    <w:rsid w:val="00F1489D"/>
    <w:rsid w:val="00F663D0"/>
    <w:rsid w:val="00F770DE"/>
    <w:rsid w:val="00FA2354"/>
    <w:rsid w:val="00FE2BB3"/>
    <w:rsid w:val="00FF4C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9F8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EB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D4EB0"/>
    <w:pPr>
      <w:spacing w:after="0" w:line="240" w:lineRule="auto"/>
      <w:jc w:val="both"/>
    </w:pPr>
    <w:rPr>
      <w:rFonts w:ascii="Times New Roman" w:eastAsia="Times New Roman" w:hAnsi="Times New Roman" w:cs="Times New Roman"/>
      <w:sz w:val="24"/>
      <w:szCs w:val="20"/>
      <w:lang w:val="es-CR"/>
    </w:rPr>
  </w:style>
  <w:style w:type="character" w:customStyle="1" w:styleId="TextoindependienteCar">
    <w:name w:val="Texto independiente Car"/>
    <w:basedOn w:val="Fuentedeprrafopredeter"/>
    <w:link w:val="Textoindependiente"/>
    <w:rsid w:val="003D4EB0"/>
    <w:rPr>
      <w:rFonts w:ascii="Times New Roman" w:eastAsia="Times New Roman" w:hAnsi="Times New Roman" w:cs="Times New Roman"/>
      <w:sz w:val="24"/>
      <w:szCs w:val="20"/>
      <w:lang w:val="es-CR"/>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3D4EB0"/>
    <w:pPr>
      <w:ind w:left="720"/>
      <w:contextualSpacing/>
    </w:pPr>
  </w:style>
  <w:style w:type="paragraph" w:customStyle="1" w:styleId="Numeracin">
    <w:name w:val="Numeración"/>
    <w:basedOn w:val="Normal"/>
    <w:link w:val="NumeracinChar"/>
    <w:qFormat/>
    <w:rsid w:val="003D4EB0"/>
    <w:pPr>
      <w:numPr>
        <w:numId w:val="2"/>
      </w:numPr>
      <w:spacing w:before="120" w:after="0" w:line="240" w:lineRule="auto"/>
      <w:jc w:val="both"/>
    </w:pPr>
    <w:rPr>
      <w:rFonts w:ascii="Times New Roman" w:eastAsia="Times New Roman" w:hAnsi="Times New Roman" w:cs="Times New Roman"/>
      <w:szCs w:val="24"/>
      <w:lang w:eastAsia="es-ES"/>
    </w:rPr>
  </w:style>
  <w:style w:type="character" w:customStyle="1" w:styleId="NumeracinChar">
    <w:name w:val="Numeración Char"/>
    <w:link w:val="Numeracin"/>
    <w:rsid w:val="003D4EB0"/>
    <w:rPr>
      <w:rFonts w:ascii="Times New Roman" w:eastAsia="Times New Roman" w:hAnsi="Times New Roman" w:cs="Times New Roman"/>
      <w:szCs w:val="24"/>
      <w:lang w:eastAsia="es-ES"/>
    </w:rPr>
  </w:style>
  <w:style w:type="paragraph" w:styleId="Textonotapie">
    <w:name w:val="footnote text"/>
    <w:basedOn w:val="Normal"/>
    <w:link w:val="TextonotapieCar"/>
    <w:uiPriority w:val="99"/>
    <w:semiHidden/>
    <w:unhideWhenUsed/>
    <w:rsid w:val="00E7324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7324F"/>
    <w:rPr>
      <w:sz w:val="20"/>
      <w:szCs w:val="20"/>
    </w:rPr>
  </w:style>
  <w:style w:type="character" w:styleId="Refdenotaalpie">
    <w:name w:val="footnote reference"/>
    <w:basedOn w:val="Fuentedeprrafopredeter"/>
    <w:uiPriority w:val="99"/>
    <w:semiHidden/>
    <w:unhideWhenUsed/>
    <w:rsid w:val="00E7324F"/>
    <w:rPr>
      <w:vertAlign w:val="superscript"/>
    </w:rPr>
  </w:style>
  <w:style w:type="paragraph" w:styleId="Encabezado">
    <w:name w:val="header"/>
    <w:basedOn w:val="Normal"/>
    <w:link w:val="EncabezadoCar"/>
    <w:uiPriority w:val="99"/>
    <w:unhideWhenUsed/>
    <w:rsid w:val="00E7324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324F"/>
  </w:style>
  <w:style w:type="paragraph" w:styleId="Piedepgina">
    <w:name w:val="footer"/>
    <w:basedOn w:val="Normal"/>
    <w:link w:val="PiedepginaCar"/>
    <w:uiPriority w:val="99"/>
    <w:unhideWhenUsed/>
    <w:rsid w:val="00E7324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324F"/>
  </w:style>
  <w:style w:type="paragraph" w:customStyle="1" w:styleId="CharChar1CarCar">
    <w:name w:val="Char Char1 Car Car"/>
    <w:basedOn w:val="Normal"/>
    <w:rsid w:val="00BC7F80"/>
    <w:pPr>
      <w:spacing w:line="240" w:lineRule="exact"/>
    </w:pPr>
    <w:rPr>
      <w:rFonts w:eastAsia="MS Mincho" w:cs="Times New Roman"/>
      <w:sz w:val="20"/>
      <w:szCs w:val="20"/>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rsid w:val="00BC7F80"/>
  </w:style>
  <w:style w:type="paragraph" w:styleId="Textodeglobo">
    <w:name w:val="Balloon Text"/>
    <w:basedOn w:val="Normal"/>
    <w:link w:val="TextodegloboCar"/>
    <w:uiPriority w:val="99"/>
    <w:semiHidden/>
    <w:unhideWhenUsed/>
    <w:rsid w:val="00813C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3C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Estado xmlns="315842a7-4cff-4ca6-8fb0-a6562d7ae952">Vigente</Estado>
    <Derogado_x0020_por_x003a_ xmlns="315842a7-4cff-4ca6-8fb0-a6562d7ae952" xsi:nil="true"/>
  </documentManagement>
</p:properties>
</file>

<file path=customXml/itemProps1.xml><?xml version="1.0" encoding="utf-8"?>
<ds:datastoreItem xmlns:ds="http://schemas.openxmlformats.org/officeDocument/2006/customXml" ds:itemID="{D6429488-6E5B-45EB-8EF6-E95D1EE6F981}">
  <ds:schemaRefs>
    <ds:schemaRef ds:uri="http://schemas.openxmlformats.org/officeDocument/2006/bibliography"/>
  </ds:schemaRefs>
</ds:datastoreItem>
</file>

<file path=customXml/itemProps2.xml><?xml version="1.0" encoding="utf-8"?>
<ds:datastoreItem xmlns:ds="http://schemas.openxmlformats.org/officeDocument/2006/customXml" ds:itemID="{0F6F5639-801B-4F76-AD3C-CA48951948AE}">
  <ds:schemaRefs>
    <ds:schemaRef ds:uri="http://schemas.microsoft.com/sharepoint/v3/contenttype/forms"/>
  </ds:schemaRefs>
</ds:datastoreItem>
</file>

<file path=customXml/itemProps3.xml><?xml version="1.0" encoding="utf-8"?>
<ds:datastoreItem xmlns:ds="http://schemas.openxmlformats.org/officeDocument/2006/customXml" ds:itemID="{6D735303-28A7-4C82-844D-797B448C4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842a7-4cff-4ca6-8fb0-a6562d7ae952"/>
    <ds:schemaRef ds:uri="fc66ef79-2d66-4fa3-90bd-e4f186d8d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CAE31A-5DE6-43FF-A07D-15C9D1D28571}">
  <ds:schemaRefs>
    <ds:schemaRef ds:uri="http://schemas.microsoft.com/office/2006/metadata/properties"/>
    <ds:schemaRef ds:uri="315842a7-4cff-4ca6-8fb0-a6562d7ae95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2936</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Acuerdo de la Superintendente aprobado el 2 de junio del 2020</dc:title>
  <dc:subject/>
  <dc:creator/>
  <cp:keywords/>
  <dc:description/>
  <cp:lastModifiedBy/>
  <cp:revision>1</cp:revision>
  <dcterms:created xsi:type="dcterms:W3CDTF">2022-05-05T15:40:00Z</dcterms:created>
  <dcterms:modified xsi:type="dcterms:W3CDTF">2022-05-06T19:01:00Z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ies>
</file>