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35C19" w14:textId="77777777" w:rsidR="007068C2" w:rsidRPr="007068C2" w:rsidRDefault="007068C2" w:rsidP="007068C2">
      <w:pPr>
        <w:widowControl w:val="0"/>
        <w:autoSpaceDE w:val="0"/>
        <w:autoSpaceDN w:val="0"/>
        <w:spacing w:line="252" w:lineRule="auto"/>
        <w:ind w:right="-279"/>
        <w:contextualSpacing/>
        <w:jc w:val="both"/>
        <w:rPr>
          <w:rFonts w:ascii="Arial" w:eastAsia="Cambria" w:hAnsi="Arial" w:cs="Arial"/>
          <w:b/>
          <w:szCs w:val="22"/>
          <w:lang w:val="es-CR" w:eastAsia="en-US"/>
        </w:rPr>
      </w:pPr>
      <w:r w:rsidRPr="007068C2">
        <w:rPr>
          <w:rFonts w:ascii="Arial" w:eastAsia="Calibri" w:hAnsi="Arial" w:cs="Arial"/>
          <w:b/>
          <w:color w:val="000000"/>
          <w:szCs w:val="22"/>
          <w:lang w:eastAsia="en-US"/>
        </w:rPr>
        <w:t>SGV-A-267 REFORMA AL “SGV-A-257. INFORMACIÓN BÁSICA DE LAS ENTIDADES REGULADAS Y SUPERVISADAS POR LA SUPERINTENDENCIA GENERAL DE VALORES</w:t>
      </w:r>
      <w:r w:rsidRPr="007068C2">
        <w:rPr>
          <w:rFonts w:ascii="Arial" w:eastAsia="Cambria" w:hAnsi="Arial" w:cs="Arial"/>
          <w:b/>
          <w:szCs w:val="22"/>
          <w:lang w:val="es-CR" w:eastAsia="en-US"/>
        </w:rPr>
        <w:t>”</w:t>
      </w:r>
      <w:r w:rsidRPr="007068C2">
        <w:rPr>
          <w:rFonts w:ascii="Arial" w:eastAsia="Cambria" w:hAnsi="Arial" w:cs="Arial"/>
          <w:b/>
          <w:szCs w:val="22"/>
          <w:vertAlign w:val="superscript"/>
          <w:lang w:val="es-CR" w:eastAsia="en-US"/>
        </w:rPr>
        <w:footnoteReference w:id="1"/>
      </w:r>
    </w:p>
    <w:p w14:paraId="49D101EC" w14:textId="77777777" w:rsidR="007068C2" w:rsidRPr="007068C2" w:rsidRDefault="007068C2" w:rsidP="007068C2">
      <w:pPr>
        <w:widowControl w:val="0"/>
        <w:autoSpaceDE w:val="0"/>
        <w:autoSpaceDN w:val="0"/>
        <w:spacing w:line="252" w:lineRule="auto"/>
        <w:contextualSpacing/>
        <w:jc w:val="both"/>
        <w:rPr>
          <w:rFonts w:ascii="Arial" w:eastAsia="Cambria" w:hAnsi="Arial" w:cs="Arial"/>
          <w:szCs w:val="22"/>
          <w:lang w:val="es-CR"/>
        </w:rPr>
      </w:pPr>
    </w:p>
    <w:p w14:paraId="7243A894" w14:textId="77777777" w:rsidR="007068C2" w:rsidRPr="007068C2" w:rsidRDefault="007068C2" w:rsidP="007068C2">
      <w:pPr>
        <w:widowControl w:val="0"/>
        <w:tabs>
          <w:tab w:val="left" w:pos="2835"/>
        </w:tabs>
        <w:spacing w:before="240" w:after="240"/>
        <w:jc w:val="both"/>
        <w:outlineLvl w:val="0"/>
        <w:rPr>
          <w:rFonts w:ascii="Arial" w:hAnsi="Arial" w:cs="Arial"/>
          <w:b/>
          <w:bCs/>
          <w:iCs/>
          <w:noProof/>
          <w:szCs w:val="22"/>
          <w:lang w:val="es-ES_tradnl" w:eastAsia="en-US"/>
        </w:rPr>
      </w:pPr>
      <w:r w:rsidRPr="007068C2">
        <w:rPr>
          <w:rFonts w:ascii="Arial" w:hAnsi="Arial" w:cs="Arial"/>
          <w:b/>
          <w:bCs/>
          <w:iCs/>
          <w:noProof/>
          <w:szCs w:val="22"/>
          <w:lang w:val="es-ES_tradnl" w:eastAsia="en-US"/>
        </w:rPr>
        <w:t>Considerando que:</w:t>
      </w:r>
    </w:p>
    <w:p w14:paraId="28A71A8C" w14:textId="77777777" w:rsidR="007068C2" w:rsidRPr="007068C2" w:rsidRDefault="007068C2" w:rsidP="007068C2">
      <w:pPr>
        <w:numPr>
          <w:ilvl w:val="0"/>
          <w:numId w:val="14"/>
        </w:numPr>
        <w:spacing w:before="120" w:after="120" w:line="252" w:lineRule="auto"/>
        <w:jc w:val="both"/>
        <w:rPr>
          <w:rFonts w:ascii="Arial" w:hAnsi="Arial" w:cs="Arial"/>
          <w:szCs w:val="22"/>
        </w:rPr>
      </w:pPr>
      <w:r w:rsidRPr="007068C2">
        <w:rPr>
          <w:rFonts w:ascii="Arial" w:hAnsi="Arial" w:cs="Arial"/>
          <w:szCs w:val="22"/>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2DB22C2D" w14:textId="77777777" w:rsidR="007068C2" w:rsidRPr="007068C2" w:rsidRDefault="007068C2" w:rsidP="007068C2">
      <w:pPr>
        <w:numPr>
          <w:ilvl w:val="0"/>
          <w:numId w:val="14"/>
        </w:numPr>
        <w:spacing w:before="120" w:after="120" w:line="252" w:lineRule="auto"/>
        <w:jc w:val="both"/>
        <w:rPr>
          <w:rFonts w:ascii="Arial" w:hAnsi="Arial" w:cs="Arial"/>
          <w:szCs w:val="22"/>
        </w:rPr>
      </w:pPr>
      <w:r w:rsidRPr="007068C2">
        <w:rPr>
          <w:rFonts w:ascii="Arial" w:hAnsi="Arial" w:cs="Arial"/>
          <w:szCs w:val="22"/>
        </w:rPr>
        <w:t>De conformidad con el inciso b) del artículo 8 de esa misma Ley corresponde al Superintendente adoptar todas las acciones necesarias para el cumplimiento efectivo de las funciones de regulación, supervisión y fiscalización que le competen a la Superintendencia de conformidad con lo dispuesto en esa ley.</w:t>
      </w:r>
    </w:p>
    <w:p w14:paraId="2755807B" w14:textId="77777777" w:rsidR="007068C2" w:rsidRPr="007068C2" w:rsidRDefault="007068C2" w:rsidP="007068C2">
      <w:pPr>
        <w:numPr>
          <w:ilvl w:val="0"/>
          <w:numId w:val="14"/>
        </w:numPr>
        <w:spacing w:before="120" w:after="120" w:line="252" w:lineRule="auto"/>
        <w:jc w:val="both"/>
        <w:rPr>
          <w:rFonts w:ascii="Arial" w:hAnsi="Arial" w:cs="Arial"/>
          <w:color w:val="000000" w:themeColor="text1"/>
          <w:szCs w:val="22"/>
        </w:rPr>
      </w:pPr>
      <w:r w:rsidRPr="007068C2">
        <w:rPr>
          <w:rFonts w:ascii="Arial" w:hAnsi="Arial" w:cs="Arial"/>
          <w:szCs w:val="22"/>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1579-2020, celebrada el 1 de junio de 2020, se aprobó la adición de un artículo 7bis al Reglamento, que tiene por objetivo hacer más eficiente el proceso de captura de información sobre miembros de órgano dirección, alta gerencia y otros órganos de </w:t>
      </w:r>
      <w:r w:rsidRPr="007068C2">
        <w:rPr>
          <w:rFonts w:ascii="Arial" w:hAnsi="Arial" w:cs="Arial"/>
          <w:color w:val="000000" w:themeColor="text1"/>
          <w:szCs w:val="22"/>
        </w:rPr>
        <w:t xml:space="preserve">gobierno de las entidades supervisadas y fiscalizadas, mediante las herramientas informáticas de autogestión </w:t>
      </w:r>
      <w:r w:rsidRPr="007068C2">
        <w:rPr>
          <w:rFonts w:ascii="Arial" w:hAnsi="Arial" w:cs="Arial"/>
          <w:color w:val="000000" w:themeColor="text1"/>
          <w:szCs w:val="22"/>
          <w:lang w:val="es-CR"/>
        </w:rPr>
        <w:t>Sistema de Registro y Actualización de Roles</w:t>
      </w:r>
      <w:r w:rsidRPr="007068C2">
        <w:rPr>
          <w:rFonts w:ascii="Arial" w:hAnsi="Arial" w:cs="Arial"/>
          <w:color w:val="000000" w:themeColor="text1"/>
          <w:szCs w:val="22"/>
        </w:rPr>
        <w:t xml:space="preserve"> y </w:t>
      </w:r>
      <w:r w:rsidRPr="007068C2">
        <w:rPr>
          <w:rFonts w:ascii="Arial" w:hAnsi="Arial" w:cs="Arial"/>
          <w:color w:val="000000" w:themeColor="text1"/>
          <w:szCs w:val="22"/>
          <w:lang w:val="es-CR"/>
        </w:rPr>
        <w:t>Administración de Esquemas de Seguridad (AES)</w:t>
      </w:r>
      <w:r w:rsidRPr="007068C2">
        <w:rPr>
          <w:rFonts w:ascii="Arial" w:hAnsi="Arial" w:cs="Arial"/>
          <w:color w:val="000000" w:themeColor="text1"/>
          <w:szCs w:val="22"/>
        </w:rPr>
        <w:t xml:space="preserve"> que sea uniforme con las herramientas con que cuentan otras Superintendencias. </w:t>
      </w:r>
    </w:p>
    <w:p w14:paraId="162EC920" w14:textId="77777777" w:rsidR="007068C2" w:rsidRPr="007068C2" w:rsidRDefault="007068C2" w:rsidP="007068C2">
      <w:pPr>
        <w:numPr>
          <w:ilvl w:val="0"/>
          <w:numId w:val="14"/>
        </w:numPr>
        <w:spacing w:before="120" w:after="120" w:line="252" w:lineRule="auto"/>
        <w:jc w:val="both"/>
        <w:rPr>
          <w:rFonts w:ascii="Arial" w:hAnsi="Arial" w:cs="Arial"/>
          <w:color w:val="000000" w:themeColor="text1"/>
          <w:szCs w:val="22"/>
        </w:rPr>
      </w:pPr>
      <w:r w:rsidRPr="007068C2">
        <w:rPr>
          <w:rFonts w:ascii="Arial" w:hAnsi="Arial" w:cs="Arial"/>
          <w:szCs w:val="22"/>
        </w:rPr>
        <w:t>El 20 de enero del 2022, la Superintendencia General de Valores emitió el acuerdo SGV-A-257 “Información básica de las Entidades Reguladas y Supervisadas por la Superintendencia General de Valores”,</w:t>
      </w:r>
      <w:r w:rsidRPr="007068C2">
        <w:rPr>
          <w:rFonts w:ascii="Arial" w:eastAsia="Cambria" w:hAnsi="Arial" w:cs="Arial"/>
        </w:rPr>
        <w:t xml:space="preserve"> con el objetivo de definir la forma y contenido de la revelación de información sobre determinados roles </w:t>
      </w:r>
      <w:r w:rsidRPr="007068C2">
        <w:rPr>
          <w:rFonts w:ascii="Arial" w:eastAsia="Cambria" w:hAnsi="Arial" w:cs="Arial"/>
          <w:color w:val="000000"/>
        </w:rPr>
        <w:t xml:space="preserve">a través del Sistema de Registro y Actualización de Roles, las entidades reguladas y supervisadas por la Superintendencia General de Valores; </w:t>
      </w:r>
      <w:r w:rsidRPr="007068C2">
        <w:rPr>
          <w:rFonts w:ascii="Arial" w:hAnsi="Arial" w:cs="Arial"/>
          <w:szCs w:val="22"/>
        </w:rPr>
        <w:t xml:space="preserve">y estableció un transitorio para permitir su adecuada implementación.  </w:t>
      </w:r>
    </w:p>
    <w:p w14:paraId="1BE68D52" w14:textId="77777777" w:rsidR="007068C2" w:rsidRPr="007068C2" w:rsidRDefault="007068C2" w:rsidP="007068C2">
      <w:pPr>
        <w:widowControl w:val="0"/>
        <w:numPr>
          <w:ilvl w:val="0"/>
          <w:numId w:val="14"/>
        </w:numPr>
        <w:autoSpaceDE w:val="0"/>
        <w:autoSpaceDN w:val="0"/>
        <w:spacing w:before="120" w:after="120" w:line="252" w:lineRule="auto"/>
        <w:jc w:val="both"/>
        <w:rPr>
          <w:rFonts w:ascii="Arial" w:hAnsi="Arial" w:cs="Arial"/>
          <w:color w:val="000000"/>
          <w:szCs w:val="22"/>
        </w:rPr>
      </w:pPr>
      <w:r w:rsidRPr="007068C2">
        <w:rPr>
          <w:rFonts w:ascii="Arial" w:hAnsi="Arial" w:cs="Arial"/>
          <w:color w:val="000000"/>
          <w:szCs w:val="22"/>
        </w:rPr>
        <w:t xml:space="preserve">El 13 de mayo del 2022, la Cámara Costarricense de Emisores de Titulos Valores, informa que como parte seguimiento al proceso de implementación del acuerdo SGV-A-257, se ha detectado que algunos emisores reportan diversas situaciones que les impedirían atender el plazo establecido en el transitorio I, por causas relacionadas con la herramienta tecnológica, obtención o renovación de firmas digitales certificadas, entre otros; por lo que propone la ampliación de dicho plazo, por un mes adicional, para que las entidades puedan concluir en forma ordenada </w:t>
      </w:r>
      <w:r w:rsidRPr="007068C2">
        <w:rPr>
          <w:rFonts w:ascii="Arial" w:hAnsi="Arial" w:cs="Arial"/>
          <w:color w:val="000000"/>
          <w:szCs w:val="22"/>
        </w:rPr>
        <w:lastRenderedPageBreak/>
        <w:t xml:space="preserve">las acciones pendientes para la puesta en marcha del </w:t>
      </w:r>
      <w:r w:rsidRPr="007068C2">
        <w:rPr>
          <w:rFonts w:ascii="Arial" w:eastAsia="Cambria" w:hAnsi="Arial" w:cs="Arial"/>
          <w:color w:val="000000"/>
          <w:szCs w:val="22"/>
        </w:rPr>
        <w:t>Sistema de Registro y Actualización de Roles</w:t>
      </w:r>
      <w:r w:rsidRPr="007068C2">
        <w:rPr>
          <w:rFonts w:ascii="Arial" w:hAnsi="Arial" w:cs="Arial"/>
          <w:color w:val="000000"/>
          <w:szCs w:val="22"/>
        </w:rPr>
        <w:t xml:space="preserve">. </w:t>
      </w:r>
    </w:p>
    <w:p w14:paraId="76C83B35" w14:textId="77777777" w:rsidR="007068C2" w:rsidRPr="007068C2" w:rsidRDefault="007068C2" w:rsidP="007068C2">
      <w:pPr>
        <w:widowControl w:val="0"/>
        <w:numPr>
          <w:ilvl w:val="0"/>
          <w:numId w:val="14"/>
        </w:numPr>
        <w:autoSpaceDE w:val="0"/>
        <w:autoSpaceDN w:val="0"/>
        <w:spacing w:before="120" w:after="120" w:line="252" w:lineRule="auto"/>
        <w:jc w:val="both"/>
        <w:rPr>
          <w:rFonts w:ascii="Arial" w:hAnsi="Arial" w:cs="Arial"/>
          <w:color w:val="000000"/>
          <w:szCs w:val="22"/>
        </w:rPr>
      </w:pPr>
      <w:r w:rsidRPr="007068C2">
        <w:rPr>
          <w:rFonts w:ascii="Arial" w:hAnsi="Arial" w:cs="Arial"/>
          <w:color w:val="000000"/>
          <w:szCs w:val="22"/>
        </w:rPr>
        <w:t>Con base en los argumentos dados por la Cámara Costarricense de Emisores de Titulos Valores, es criterio de esta Superintendencia que la solicitud de prórroga es razonable dado que mitiga el riesgo de que las entidades incurran en el registro de datos erróneos o incompletos por la limitación de tiempo para la implementación del acuerdo SGV-A-257.</w:t>
      </w:r>
    </w:p>
    <w:p w14:paraId="7A9457D6" w14:textId="77777777" w:rsidR="007068C2" w:rsidRPr="007068C2" w:rsidRDefault="007068C2" w:rsidP="007068C2">
      <w:pPr>
        <w:widowControl w:val="0"/>
        <w:numPr>
          <w:ilvl w:val="0"/>
          <w:numId w:val="14"/>
        </w:numPr>
        <w:autoSpaceDE w:val="0"/>
        <w:autoSpaceDN w:val="0"/>
        <w:spacing w:before="120" w:after="120" w:line="252" w:lineRule="auto"/>
        <w:jc w:val="both"/>
        <w:rPr>
          <w:rFonts w:ascii="Arial" w:hAnsi="Arial" w:cs="Arial"/>
          <w:color w:val="000000"/>
          <w:szCs w:val="22"/>
        </w:rPr>
      </w:pPr>
      <w:r w:rsidRPr="007068C2">
        <w:rPr>
          <w:rFonts w:ascii="Arial" w:hAnsi="Arial" w:cs="Arial"/>
          <w:color w:val="000000"/>
          <w:szCs w:val="22"/>
        </w:rPr>
        <w:t>Esta ampliación resulta de beneficio de los emisores y, por tanto, se prescinde del trámite de consulta externa.</w:t>
      </w:r>
    </w:p>
    <w:p w14:paraId="27FAA90D" w14:textId="77777777" w:rsidR="007068C2" w:rsidRPr="007068C2" w:rsidRDefault="007068C2" w:rsidP="007068C2">
      <w:pPr>
        <w:spacing w:before="120" w:after="120" w:line="252" w:lineRule="auto"/>
        <w:jc w:val="both"/>
        <w:rPr>
          <w:rFonts w:ascii="Arial" w:hAnsi="Arial" w:cs="Arial"/>
          <w:color w:val="000000"/>
          <w:szCs w:val="22"/>
          <w:lang w:val="es-CR"/>
        </w:rPr>
      </w:pPr>
    </w:p>
    <w:p w14:paraId="56341862" w14:textId="77777777" w:rsidR="007068C2" w:rsidRPr="007068C2" w:rsidRDefault="007068C2" w:rsidP="007068C2">
      <w:pPr>
        <w:spacing w:before="120" w:after="120" w:line="252" w:lineRule="auto"/>
        <w:jc w:val="both"/>
        <w:rPr>
          <w:rFonts w:ascii="Arial" w:hAnsi="Arial" w:cs="Arial"/>
          <w:color w:val="000000"/>
          <w:szCs w:val="22"/>
        </w:rPr>
      </w:pPr>
      <w:r w:rsidRPr="007068C2">
        <w:rPr>
          <w:rFonts w:ascii="Arial" w:hAnsi="Arial" w:cs="Arial"/>
          <w:color w:val="000000"/>
          <w:szCs w:val="22"/>
        </w:rPr>
        <w:t xml:space="preserve">Por tanto, dispone el presente Acuerdo: </w:t>
      </w:r>
    </w:p>
    <w:p w14:paraId="27985E71" w14:textId="77777777" w:rsidR="007068C2" w:rsidRPr="007068C2" w:rsidRDefault="007068C2" w:rsidP="007068C2">
      <w:pPr>
        <w:widowControl w:val="0"/>
        <w:autoSpaceDE w:val="0"/>
        <w:autoSpaceDN w:val="0"/>
        <w:rPr>
          <w:rFonts w:ascii="Arial" w:eastAsia="Cambria" w:hAnsi="Arial" w:cs="Arial"/>
          <w:szCs w:val="22"/>
          <w:lang w:val="es-CR" w:eastAsia="en-US"/>
        </w:rPr>
      </w:pPr>
    </w:p>
    <w:p w14:paraId="1B6BCBAD" w14:textId="77777777" w:rsidR="007068C2" w:rsidRPr="007068C2" w:rsidRDefault="007068C2" w:rsidP="007068C2">
      <w:pPr>
        <w:widowControl w:val="0"/>
        <w:autoSpaceDE w:val="0"/>
        <w:autoSpaceDN w:val="0"/>
        <w:spacing w:line="252" w:lineRule="auto"/>
        <w:ind w:right="-279"/>
        <w:contextualSpacing/>
        <w:jc w:val="center"/>
        <w:rPr>
          <w:rFonts w:ascii="Arial" w:eastAsia="Cambria" w:hAnsi="Arial" w:cs="Arial"/>
          <w:b/>
          <w:szCs w:val="22"/>
          <w:lang w:val="es-CR" w:eastAsia="en-US"/>
        </w:rPr>
      </w:pPr>
      <w:r w:rsidRPr="007068C2">
        <w:rPr>
          <w:rFonts w:ascii="Arial" w:eastAsia="Calibri" w:hAnsi="Arial" w:cs="Arial"/>
          <w:b/>
          <w:color w:val="000000"/>
          <w:szCs w:val="22"/>
          <w:lang w:eastAsia="en-US"/>
        </w:rPr>
        <w:t>SGV-A-267 REFORMA AL “SGV-A-257. INFORMACIÓN BÁSICA DE LAS ENTIDADES REGULADAS Y SUPERVISADAS POR LA SUPERINTENDENCIA GENERAL DE VALORES</w:t>
      </w:r>
      <w:r w:rsidRPr="007068C2">
        <w:rPr>
          <w:rFonts w:ascii="Arial" w:eastAsia="Cambria" w:hAnsi="Arial" w:cs="Arial"/>
          <w:b/>
          <w:szCs w:val="22"/>
          <w:lang w:val="es-CR" w:eastAsia="en-US"/>
        </w:rPr>
        <w:t>”</w:t>
      </w:r>
    </w:p>
    <w:p w14:paraId="11716F49" w14:textId="77777777" w:rsidR="007068C2" w:rsidRPr="007068C2" w:rsidRDefault="007068C2" w:rsidP="007068C2">
      <w:pPr>
        <w:widowControl w:val="0"/>
        <w:spacing w:after="160" w:line="259" w:lineRule="auto"/>
        <w:ind w:left="2268" w:hanging="2268"/>
        <w:jc w:val="both"/>
        <w:rPr>
          <w:rFonts w:ascii="Arial" w:eastAsiaTheme="minorHAnsi" w:hAnsi="Arial" w:cs="Arial"/>
          <w:b/>
          <w:szCs w:val="22"/>
          <w:lang w:val="es-CR" w:eastAsia="en-US"/>
        </w:rPr>
      </w:pPr>
    </w:p>
    <w:p w14:paraId="47C70947" w14:textId="77777777" w:rsidR="007068C2" w:rsidRPr="007068C2" w:rsidRDefault="007068C2" w:rsidP="007068C2">
      <w:pPr>
        <w:spacing w:after="160" w:line="259" w:lineRule="auto"/>
        <w:jc w:val="both"/>
        <w:rPr>
          <w:rFonts w:ascii="Arial" w:eastAsiaTheme="minorHAnsi" w:hAnsi="Arial" w:cs="Arial"/>
          <w:b/>
          <w:szCs w:val="22"/>
          <w:lang w:val="es-CR" w:eastAsia="es-CR"/>
        </w:rPr>
      </w:pPr>
      <w:r w:rsidRPr="007068C2">
        <w:rPr>
          <w:rFonts w:ascii="Arial" w:eastAsiaTheme="minorHAnsi" w:hAnsi="Arial" w:cs="Arial"/>
          <w:b/>
          <w:szCs w:val="22"/>
          <w:lang w:val="es-CR" w:eastAsia="es-CR"/>
        </w:rPr>
        <w:t xml:space="preserve">Artículo 1. Modificaciones </w:t>
      </w:r>
    </w:p>
    <w:p w14:paraId="39BBC6C1" w14:textId="77777777" w:rsidR="007068C2" w:rsidRPr="007068C2" w:rsidRDefault="007068C2" w:rsidP="007068C2">
      <w:pPr>
        <w:spacing w:after="160" w:line="259" w:lineRule="auto"/>
        <w:jc w:val="both"/>
        <w:rPr>
          <w:rFonts w:ascii="Arial" w:eastAsiaTheme="minorHAnsi" w:hAnsi="Arial" w:cs="Arial"/>
          <w:bCs/>
          <w:szCs w:val="22"/>
          <w:lang w:val="es-CR" w:eastAsia="es-CR"/>
        </w:rPr>
      </w:pPr>
      <w:r w:rsidRPr="000C43F5">
        <w:rPr>
          <w:rFonts w:ascii="Arial" w:eastAsiaTheme="minorHAnsi" w:hAnsi="Arial" w:cs="Arial"/>
          <w:bCs/>
          <w:szCs w:val="22"/>
          <w:highlight w:val="yellow"/>
          <w:lang w:val="es-CR" w:eastAsia="es-CR"/>
        </w:rPr>
        <w:t xml:space="preserve">Modificar el Transitorio I del </w:t>
      </w:r>
      <w:r w:rsidRPr="000C43F5">
        <w:rPr>
          <w:rFonts w:ascii="Arial" w:eastAsiaTheme="minorHAnsi" w:hAnsi="Arial" w:cs="Arial"/>
          <w:szCs w:val="22"/>
          <w:highlight w:val="yellow"/>
          <w:lang w:val="es-CR" w:eastAsia="en-US"/>
        </w:rPr>
        <w:t>acuerdo SGV-A-257</w:t>
      </w:r>
      <w:r w:rsidRPr="007068C2">
        <w:rPr>
          <w:rFonts w:ascii="Arial" w:eastAsiaTheme="minorHAnsi" w:hAnsi="Arial" w:cs="Arial"/>
          <w:szCs w:val="22"/>
          <w:lang w:val="es-CR" w:eastAsia="en-US"/>
        </w:rPr>
        <w:t xml:space="preserve"> “Información básica de las Entidades Reguladas y Supervisadas por la Superintendencia General de Valores”</w:t>
      </w:r>
      <w:r w:rsidRPr="007068C2">
        <w:rPr>
          <w:rFonts w:ascii="Arial" w:eastAsiaTheme="minorHAnsi" w:hAnsi="Arial" w:cs="Arial"/>
          <w:bCs/>
          <w:szCs w:val="22"/>
          <w:lang w:val="es-CR" w:eastAsia="es-CR"/>
        </w:rPr>
        <w:t>, para que se lea de la siguiente manera:</w:t>
      </w:r>
    </w:p>
    <w:p w14:paraId="73C4AB68" w14:textId="77777777" w:rsidR="007068C2" w:rsidRPr="007068C2" w:rsidRDefault="007068C2" w:rsidP="007068C2">
      <w:pPr>
        <w:widowControl w:val="0"/>
        <w:autoSpaceDE w:val="0"/>
        <w:autoSpaceDN w:val="0"/>
        <w:spacing w:before="120" w:after="120" w:line="252" w:lineRule="auto"/>
        <w:ind w:right="130"/>
        <w:jc w:val="both"/>
        <w:rPr>
          <w:rFonts w:ascii="Arial" w:eastAsia="Cambria" w:hAnsi="Arial" w:cs="Arial"/>
          <w:b/>
          <w:i/>
          <w:iCs/>
          <w:color w:val="000000"/>
          <w:szCs w:val="22"/>
          <w:lang w:val="es-CR" w:eastAsia="en-US"/>
        </w:rPr>
      </w:pPr>
      <w:r w:rsidRPr="007068C2">
        <w:rPr>
          <w:rFonts w:ascii="Arial" w:eastAsia="Cambria" w:hAnsi="Arial" w:cs="Arial"/>
          <w:b/>
          <w:i/>
          <w:iCs/>
          <w:color w:val="000000"/>
          <w:szCs w:val="22"/>
          <w:lang w:val="es-CR" w:eastAsia="en-US"/>
        </w:rPr>
        <w:t>“Transitorio I. Sobre la carga inicial de información.</w:t>
      </w:r>
    </w:p>
    <w:p w14:paraId="5AF0B80E" w14:textId="77777777" w:rsidR="007068C2" w:rsidRPr="009759B1" w:rsidRDefault="007068C2" w:rsidP="007068C2">
      <w:pPr>
        <w:widowControl w:val="0"/>
        <w:autoSpaceDE w:val="0"/>
        <w:autoSpaceDN w:val="0"/>
        <w:contextualSpacing/>
        <w:rPr>
          <w:rFonts w:ascii="Arial" w:eastAsia="Cambria" w:hAnsi="Arial" w:cs="Arial"/>
          <w:i/>
          <w:iCs/>
          <w:color w:val="000000"/>
          <w:szCs w:val="22"/>
          <w:lang w:val="es-CR" w:eastAsia="en-US"/>
        </w:rPr>
      </w:pPr>
      <w:bookmarkStart w:id="0" w:name="_Hlk103678093"/>
      <w:r w:rsidRPr="009759B1">
        <w:rPr>
          <w:rFonts w:ascii="Arial" w:eastAsia="Cambria" w:hAnsi="Arial" w:cs="Arial"/>
          <w:i/>
          <w:iCs/>
          <w:color w:val="000000"/>
          <w:szCs w:val="22"/>
          <w:lang w:val="es-CR" w:eastAsia="en-US"/>
        </w:rPr>
        <w:t>Las entidades reguladas o supervisadas tendrán las siguientes fechas límite para ingresar la información de las personas físicas e instancias de control indicadas en el artículo 5 de estas disposiciones:</w:t>
      </w:r>
    </w:p>
    <w:p w14:paraId="5FD1D3EA" w14:textId="77777777" w:rsidR="007068C2" w:rsidRPr="009759B1" w:rsidRDefault="007068C2" w:rsidP="007068C2">
      <w:pPr>
        <w:widowControl w:val="0"/>
        <w:autoSpaceDE w:val="0"/>
        <w:autoSpaceDN w:val="0"/>
        <w:contextualSpacing/>
        <w:rPr>
          <w:rFonts w:ascii="Arial" w:eastAsia="Cambria" w:hAnsi="Arial" w:cs="Arial"/>
          <w:i/>
          <w:iCs/>
          <w:color w:val="000000"/>
          <w:szCs w:val="22"/>
          <w:lang w:val="es-CR" w:eastAsia="en-US"/>
        </w:rPr>
      </w:pPr>
    </w:p>
    <w:p w14:paraId="0FBBA841" w14:textId="77777777" w:rsidR="007068C2" w:rsidRPr="009759B1" w:rsidRDefault="007068C2" w:rsidP="007068C2">
      <w:pPr>
        <w:widowControl w:val="0"/>
        <w:numPr>
          <w:ilvl w:val="0"/>
          <w:numId w:val="13"/>
        </w:numPr>
        <w:autoSpaceDE w:val="0"/>
        <w:autoSpaceDN w:val="0"/>
        <w:spacing w:before="120" w:after="120" w:line="259" w:lineRule="auto"/>
        <w:ind w:right="135"/>
        <w:contextualSpacing/>
        <w:jc w:val="both"/>
        <w:rPr>
          <w:rFonts w:ascii="Arial" w:eastAsia="Cambria" w:hAnsi="Arial" w:cs="Arial"/>
          <w:i/>
          <w:iCs/>
          <w:color w:val="000000"/>
          <w:szCs w:val="22"/>
          <w:lang w:val="es-CR" w:eastAsia="en-US"/>
        </w:rPr>
      </w:pPr>
      <w:r w:rsidRPr="009759B1">
        <w:rPr>
          <w:rFonts w:ascii="Arial" w:eastAsia="Cambria" w:hAnsi="Arial" w:cs="Arial"/>
          <w:i/>
          <w:iCs/>
          <w:color w:val="000000"/>
          <w:szCs w:val="22"/>
          <w:lang w:val="es-CR" w:eastAsia="en-US"/>
        </w:rPr>
        <w:t xml:space="preserve">Puestos de Bolsa, Grupos financieros supervisados por SUGEVAL, Calificadoras de riesgo, Central de valores, Bolsa de valores, Proveedores de precios, Sistema de Anotación en Cuenta (SAC), Sociedad de compensación y liquidación, Sociedades fiduciarias, y Sociedades </w:t>
      </w:r>
      <w:proofErr w:type="spellStart"/>
      <w:r w:rsidRPr="009759B1">
        <w:rPr>
          <w:rFonts w:ascii="Arial" w:eastAsia="Cambria" w:hAnsi="Arial" w:cs="Arial"/>
          <w:i/>
          <w:iCs/>
          <w:color w:val="000000"/>
          <w:szCs w:val="22"/>
          <w:lang w:val="es-CR" w:eastAsia="en-US"/>
        </w:rPr>
        <w:t>titularizadoras</w:t>
      </w:r>
      <w:proofErr w:type="spellEnd"/>
      <w:r w:rsidRPr="009759B1">
        <w:rPr>
          <w:rFonts w:ascii="Arial" w:eastAsia="Cambria" w:hAnsi="Arial" w:cs="Arial"/>
          <w:i/>
          <w:iCs/>
          <w:color w:val="000000"/>
          <w:szCs w:val="22"/>
          <w:lang w:val="es-CR" w:eastAsia="en-US"/>
        </w:rPr>
        <w:t>: del 15 de febrero al 15 de abril del 2022.</w:t>
      </w:r>
    </w:p>
    <w:p w14:paraId="2D327CD6" w14:textId="77777777" w:rsidR="007068C2" w:rsidRPr="009759B1" w:rsidRDefault="007068C2" w:rsidP="007068C2">
      <w:pPr>
        <w:widowControl w:val="0"/>
        <w:autoSpaceDE w:val="0"/>
        <w:autoSpaceDN w:val="0"/>
        <w:spacing w:before="120" w:after="120"/>
        <w:ind w:left="720" w:right="135"/>
        <w:contextualSpacing/>
        <w:jc w:val="both"/>
        <w:rPr>
          <w:rFonts w:ascii="Arial" w:eastAsia="Cambria" w:hAnsi="Arial" w:cs="Arial"/>
          <w:i/>
          <w:iCs/>
          <w:color w:val="000000"/>
          <w:szCs w:val="22"/>
          <w:lang w:val="es-CR" w:eastAsia="en-US"/>
        </w:rPr>
      </w:pPr>
    </w:p>
    <w:p w14:paraId="04EBF291" w14:textId="77777777" w:rsidR="007068C2" w:rsidRPr="009759B1" w:rsidRDefault="007068C2" w:rsidP="007068C2">
      <w:pPr>
        <w:widowControl w:val="0"/>
        <w:numPr>
          <w:ilvl w:val="0"/>
          <w:numId w:val="13"/>
        </w:numPr>
        <w:autoSpaceDE w:val="0"/>
        <w:autoSpaceDN w:val="0"/>
        <w:spacing w:before="120" w:after="120" w:line="259" w:lineRule="auto"/>
        <w:ind w:right="135"/>
        <w:contextualSpacing/>
        <w:jc w:val="both"/>
        <w:rPr>
          <w:rFonts w:ascii="Arial" w:eastAsia="Cambria" w:hAnsi="Arial" w:cs="Arial"/>
          <w:i/>
          <w:iCs/>
          <w:color w:val="000000"/>
          <w:szCs w:val="22"/>
          <w:lang w:val="es-CR" w:eastAsia="en-US"/>
        </w:rPr>
      </w:pPr>
      <w:r w:rsidRPr="009759B1">
        <w:rPr>
          <w:rFonts w:ascii="Arial" w:eastAsia="Cambria" w:hAnsi="Arial" w:cs="Arial"/>
          <w:i/>
          <w:iCs/>
          <w:color w:val="000000"/>
          <w:szCs w:val="22"/>
          <w:lang w:val="es-CR" w:eastAsia="en-US"/>
        </w:rPr>
        <w:t xml:space="preserve">Emisores de valores no financieros, emisores de valores supervisados por </w:t>
      </w:r>
      <w:proofErr w:type="spellStart"/>
      <w:r w:rsidRPr="009759B1">
        <w:rPr>
          <w:rFonts w:ascii="Arial" w:eastAsia="Cambria" w:hAnsi="Arial" w:cs="Arial"/>
          <w:i/>
          <w:iCs/>
          <w:color w:val="000000"/>
          <w:szCs w:val="22"/>
          <w:lang w:val="es-CR" w:eastAsia="en-US"/>
        </w:rPr>
        <w:t>Sugef</w:t>
      </w:r>
      <w:proofErr w:type="spellEnd"/>
      <w:r w:rsidRPr="009759B1">
        <w:rPr>
          <w:rFonts w:ascii="Arial" w:eastAsia="Cambria" w:hAnsi="Arial" w:cs="Arial"/>
          <w:i/>
          <w:iCs/>
          <w:color w:val="000000"/>
          <w:szCs w:val="22"/>
          <w:lang w:val="es-CR" w:eastAsia="en-US"/>
        </w:rPr>
        <w:t>, Sociedades administradoras de fondos de inversión y los fondos bajo su responsabilidad: del 15 de marzo al 15 de junio del 2022.</w:t>
      </w:r>
    </w:p>
    <w:p w14:paraId="6AC54977" w14:textId="77777777" w:rsidR="007068C2" w:rsidRPr="009759B1" w:rsidRDefault="007068C2" w:rsidP="007068C2">
      <w:pPr>
        <w:widowControl w:val="0"/>
        <w:autoSpaceDE w:val="0"/>
        <w:autoSpaceDN w:val="0"/>
        <w:spacing w:before="120" w:after="120" w:line="252" w:lineRule="auto"/>
        <w:ind w:right="135"/>
        <w:contextualSpacing/>
        <w:jc w:val="both"/>
        <w:rPr>
          <w:rFonts w:ascii="Arial" w:eastAsia="Cambria" w:hAnsi="Arial" w:cs="Arial"/>
          <w:i/>
          <w:iCs/>
          <w:color w:val="000000"/>
          <w:szCs w:val="22"/>
          <w:lang w:val="es-CR" w:eastAsia="en-US"/>
        </w:rPr>
      </w:pPr>
    </w:p>
    <w:p w14:paraId="2DA03B30" w14:textId="77777777" w:rsidR="007068C2" w:rsidRPr="009759B1" w:rsidRDefault="007068C2" w:rsidP="007068C2">
      <w:pPr>
        <w:widowControl w:val="0"/>
        <w:tabs>
          <w:tab w:val="left" w:pos="2940"/>
        </w:tabs>
        <w:autoSpaceDE w:val="0"/>
        <w:autoSpaceDN w:val="0"/>
        <w:spacing w:before="120" w:after="120" w:line="252" w:lineRule="auto"/>
        <w:ind w:right="130"/>
        <w:jc w:val="both"/>
        <w:rPr>
          <w:rFonts w:ascii="Arial" w:eastAsia="Cambria" w:hAnsi="Arial" w:cs="Arial"/>
          <w:i/>
          <w:iCs/>
          <w:color w:val="000000"/>
          <w:szCs w:val="22"/>
          <w:lang w:val="es-CR" w:eastAsia="en-US"/>
        </w:rPr>
      </w:pPr>
      <w:r w:rsidRPr="009759B1">
        <w:rPr>
          <w:rFonts w:ascii="Arial" w:eastAsia="Cambria" w:hAnsi="Arial" w:cs="Arial"/>
          <w:i/>
          <w:iCs/>
          <w:color w:val="000000"/>
          <w:szCs w:val="22"/>
          <w:lang w:val="es-CR" w:eastAsia="en-US"/>
        </w:rPr>
        <w:t>La actualización de la información de los cargos en el Registro Nacional de Valores e Intermediarios con la incluida en el Sistema de Registro y Actualización de Roles se realizará al completar los plazos de carga inicial definidos en este transitorio.</w:t>
      </w:r>
    </w:p>
    <w:p w14:paraId="770B7C12" w14:textId="77777777" w:rsidR="007068C2" w:rsidRPr="007068C2" w:rsidRDefault="007068C2" w:rsidP="007068C2">
      <w:pPr>
        <w:widowControl w:val="0"/>
        <w:autoSpaceDE w:val="0"/>
        <w:autoSpaceDN w:val="0"/>
        <w:spacing w:before="120" w:after="120" w:line="252" w:lineRule="auto"/>
        <w:ind w:right="130"/>
        <w:jc w:val="both"/>
        <w:rPr>
          <w:rFonts w:ascii="Arial" w:eastAsia="Cambria" w:hAnsi="Arial" w:cs="Arial"/>
          <w:i/>
          <w:iCs/>
          <w:color w:val="000000"/>
          <w:szCs w:val="22"/>
          <w:lang w:val="es-CR" w:eastAsia="en-US"/>
        </w:rPr>
      </w:pPr>
      <w:r w:rsidRPr="009759B1">
        <w:rPr>
          <w:rFonts w:ascii="Arial" w:eastAsia="Cambria" w:hAnsi="Arial" w:cs="Arial"/>
          <w:i/>
          <w:iCs/>
          <w:color w:val="000000"/>
          <w:szCs w:val="22"/>
          <w:lang w:val="es-CR" w:eastAsia="en-US"/>
        </w:rPr>
        <w:t>Posterior a la carga inicial, la actualización de la información se realizará en el Sistema de Registro y Actualización de Roles y de conformidad con el presente acuerdo</w:t>
      </w:r>
      <w:bookmarkEnd w:id="0"/>
      <w:r w:rsidRPr="009759B1">
        <w:rPr>
          <w:rFonts w:ascii="Arial" w:eastAsia="Cambria" w:hAnsi="Arial" w:cs="Arial"/>
          <w:i/>
          <w:iCs/>
          <w:color w:val="000000"/>
          <w:szCs w:val="22"/>
          <w:lang w:val="es-CR" w:eastAsia="en-US"/>
        </w:rPr>
        <w:t>.”</w:t>
      </w:r>
    </w:p>
    <w:p w14:paraId="0EA3C45D" w14:textId="77777777" w:rsidR="007068C2" w:rsidRPr="007068C2" w:rsidRDefault="007068C2" w:rsidP="007068C2">
      <w:pPr>
        <w:spacing w:before="240" w:after="240" w:line="259" w:lineRule="auto"/>
        <w:jc w:val="both"/>
        <w:rPr>
          <w:rFonts w:ascii="Arial" w:eastAsiaTheme="minorHAnsi" w:hAnsi="Arial" w:cs="Arial"/>
          <w:b/>
          <w:color w:val="000000" w:themeColor="text1"/>
          <w:szCs w:val="22"/>
          <w:lang w:val="es-CR" w:eastAsia="en-US"/>
        </w:rPr>
      </w:pPr>
    </w:p>
    <w:p w14:paraId="3BB0E725" w14:textId="77777777" w:rsidR="007068C2" w:rsidRPr="007068C2" w:rsidRDefault="007068C2" w:rsidP="007068C2">
      <w:pPr>
        <w:spacing w:before="240" w:after="240" w:line="259" w:lineRule="auto"/>
        <w:jc w:val="both"/>
        <w:rPr>
          <w:rFonts w:ascii="Arial" w:eastAsiaTheme="minorHAnsi" w:hAnsi="Arial" w:cs="Arial"/>
          <w:b/>
          <w:color w:val="000000" w:themeColor="text1"/>
          <w:szCs w:val="22"/>
          <w:lang w:val="es-CR" w:eastAsia="en-US"/>
        </w:rPr>
      </w:pPr>
      <w:r w:rsidRPr="007068C2">
        <w:rPr>
          <w:rFonts w:ascii="Arial" w:eastAsiaTheme="minorHAnsi" w:hAnsi="Arial" w:cs="Arial"/>
          <w:b/>
          <w:color w:val="000000" w:themeColor="text1"/>
          <w:szCs w:val="22"/>
          <w:lang w:val="es-CR" w:eastAsia="en-US"/>
        </w:rPr>
        <w:lastRenderedPageBreak/>
        <w:t>Artículo 2. Vigencia</w:t>
      </w:r>
    </w:p>
    <w:p w14:paraId="0CA05B99" w14:textId="77777777" w:rsidR="007068C2" w:rsidRPr="007068C2" w:rsidRDefault="007068C2" w:rsidP="007068C2">
      <w:pPr>
        <w:tabs>
          <w:tab w:val="left" w:pos="8910"/>
        </w:tabs>
        <w:spacing w:before="240" w:after="240" w:line="259" w:lineRule="auto"/>
        <w:jc w:val="both"/>
        <w:rPr>
          <w:rFonts w:ascii="Arial" w:eastAsiaTheme="minorHAnsi" w:hAnsi="Arial" w:cs="Arial"/>
          <w:szCs w:val="22"/>
          <w:lang w:val="es-CR" w:eastAsia="en-US"/>
        </w:rPr>
      </w:pPr>
      <w:r w:rsidRPr="007068C2">
        <w:rPr>
          <w:rFonts w:ascii="Arial" w:eastAsiaTheme="minorHAnsi" w:hAnsi="Arial" w:cs="Arial"/>
          <w:szCs w:val="22"/>
          <w:lang w:val="es-CR" w:eastAsia="en-US"/>
        </w:rPr>
        <w:t>Rige a partir de su comunicación</w:t>
      </w:r>
    </w:p>
    <w:p w14:paraId="7EE6B84C" w14:textId="77777777" w:rsidR="007068C2" w:rsidRPr="007068C2" w:rsidRDefault="007068C2" w:rsidP="007068C2">
      <w:pPr>
        <w:tabs>
          <w:tab w:val="left" w:pos="8910"/>
        </w:tabs>
        <w:spacing w:before="240" w:after="240" w:line="259" w:lineRule="auto"/>
        <w:jc w:val="both"/>
        <w:rPr>
          <w:rFonts w:ascii="Arial" w:eastAsiaTheme="minorHAnsi" w:hAnsi="Arial" w:cs="Arial"/>
          <w:szCs w:val="22"/>
          <w:lang w:val="es-CR" w:eastAsia="en-US"/>
        </w:rPr>
      </w:pPr>
    </w:p>
    <w:p w14:paraId="6E7D8B86" w14:textId="57FC8646" w:rsidR="00B2356E" w:rsidRPr="007068C2" w:rsidRDefault="00B2356E" w:rsidP="00B2356E">
      <w:pPr>
        <w:pStyle w:val="Textoindependiente"/>
        <w:spacing w:after="0"/>
        <w:jc w:val="both"/>
        <w:rPr>
          <w:rFonts w:ascii="Arial" w:hAnsi="Arial" w:cs="Arial"/>
          <w:b/>
          <w:szCs w:val="22"/>
          <w:lang w:val="es-CR" w:eastAsia="en-US"/>
        </w:rPr>
      </w:pPr>
    </w:p>
    <w:sectPr w:rsidR="00B2356E" w:rsidRPr="007068C2"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C706B" w14:textId="77777777" w:rsidR="00ED49D9" w:rsidRDefault="00ED49D9" w:rsidP="005A768E">
      <w:r>
        <w:separator/>
      </w:r>
    </w:p>
  </w:endnote>
  <w:endnote w:type="continuationSeparator" w:id="0">
    <w:p w14:paraId="55BEA134" w14:textId="77777777" w:rsidR="00ED49D9" w:rsidRDefault="00ED49D9"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11B78" w14:textId="77777777" w:rsidR="00ED49D9" w:rsidRDefault="00ED49D9" w:rsidP="005A768E">
      <w:r>
        <w:separator/>
      </w:r>
    </w:p>
  </w:footnote>
  <w:footnote w:type="continuationSeparator" w:id="0">
    <w:p w14:paraId="03AA20E3" w14:textId="77777777" w:rsidR="00ED49D9" w:rsidRDefault="00ED49D9" w:rsidP="005A768E">
      <w:r>
        <w:continuationSeparator/>
      </w:r>
    </w:p>
  </w:footnote>
  <w:footnote w:id="1">
    <w:p w14:paraId="743932E4" w14:textId="77777777" w:rsidR="007068C2" w:rsidRPr="00B42C03" w:rsidRDefault="007068C2" w:rsidP="007068C2">
      <w:pPr>
        <w:jc w:val="both"/>
        <w:rPr>
          <w:rFonts w:ascii="Arial" w:hAnsi="Arial" w:cs="Arial"/>
          <w:lang w:val="es-MX"/>
        </w:rPr>
      </w:pPr>
      <w:r>
        <w:rPr>
          <w:rStyle w:val="Refdenotaalpie"/>
        </w:rPr>
        <w:footnoteRef/>
      </w:r>
      <w:r>
        <w:t xml:space="preserve"> </w:t>
      </w:r>
      <w:r w:rsidRPr="00B42C03">
        <w:rPr>
          <w:rFonts w:ascii="Arial" w:hAnsi="Arial" w:cs="Arial"/>
          <w:lang w:val="es-MX"/>
        </w:rPr>
        <w:t>Superintendencia General de Valores.  Despacho de</w:t>
      </w:r>
      <w:r>
        <w:rPr>
          <w:rFonts w:ascii="Arial" w:hAnsi="Arial" w:cs="Arial"/>
          <w:lang w:val="es-MX"/>
        </w:rPr>
        <w:t xml:space="preserve"> </w:t>
      </w:r>
      <w:r w:rsidRPr="00B42C03">
        <w:rPr>
          <w:rFonts w:ascii="Arial" w:hAnsi="Arial" w:cs="Arial"/>
          <w:lang w:val="es-MX"/>
        </w:rPr>
        <w:t>l</w:t>
      </w:r>
      <w:r>
        <w:rPr>
          <w:rFonts w:ascii="Arial" w:hAnsi="Arial" w:cs="Arial"/>
          <w:lang w:val="es-MX"/>
        </w:rPr>
        <w:t>a</w:t>
      </w:r>
      <w:r w:rsidRPr="00B42C03">
        <w:rPr>
          <w:rFonts w:ascii="Arial" w:hAnsi="Arial" w:cs="Arial"/>
          <w:lang w:val="es-MX"/>
        </w:rPr>
        <w:t xml:space="preserve"> Superintendente.  A las </w:t>
      </w:r>
      <w:r>
        <w:rPr>
          <w:rFonts w:ascii="Arial" w:hAnsi="Arial" w:cs="Arial"/>
          <w:lang w:val="es-MX"/>
        </w:rPr>
        <w:t xml:space="preserve">dieciséis horas </w:t>
      </w:r>
      <w:r w:rsidRPr="00B42C03">
        <w:rPr>
          <w:rFonts w:ascii="Arial" w:hAnsi="Arial" w:cs="Arial"/>
          <w:lang w:val="es-MX"/>
        </w:rPr>
        <w:t xml:space="preserve">del </w:t>
      </w:r>
      <w:r>
        <w:rPr>
          <w:rFonts w:ascii="Arial" w:hAnsi="Arial" w:cs="Arial"/>
          <w:lang w:val="es-MX"/>
        </w:rPr>
        <w:t>dieciséis de mayo</w:t>
      </w:r>
      <w:r w:rsidRPr="00B42C03">
        <w:rPr>
          <w:rFonts w:ascii="Arial" w:hAnsi="Arial" w:cs="Arial"/>
          <w:lang w:val="es-MX"/>
        </w:rPr>
        <w:t xml:space="preserve"> del dos mil </w:t>
      </w:r>
      <w:r>
        <w:rPr>
          <w:rFonts w:ascii="Arial" w:hAnsi="Arial" w:cs="Arial"/>
          <w:lang w:val="es-MX"/>
        </w:rPr>
        <w:t>veintidós</w:t>
      </w:r>
      <w:r w:rsidRPr="00B42C03">
        <w:rPr>
          <w:rFonts w:ascii="Arial" w:hAnsi="Arial" w:cs="Arial"/>
          <w:lang w:val="es-MX"/>
        </w:rPr>
        <w:t>.</w:t>
      </w:r>
    </w:p>
    <w:p w14:paraId="51625BA0" w14:textId="77777777" w:rsidR="007068C2" w:rsidRPr="00792049" w:rsidRDefault="007068C2" w:rsidP="007068C2">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E4BE"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023D6D"/>
    <w:multiLevelType w:val="hybridMultilevel"/>
    <w:tmpl w:val="317246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8"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9440118"/>
    <w:multiLevelType w:val="hybridMultilevel"/>
    <w:tmpl w:val="4E7A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6"/>
  </w:num>
  <w:num w:numId="3">
    <w:abstractNumId w:val="0"/>
  </w:num>
  <w:num w:numId="4">
    <w:abstractNumId w:val="11"/>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12"/>
  </w:num>
  <w:num w:numId="11">
    <w:abstractNumId w:val="7"/>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31E3C"/>
    <w:rsid w:val="000702E4"/>
    <w:rsid w:val="000C43F5"/>
    <w:rsid w:val="000C62EE"/>
    <w:rsid w:val="000F4C2E"/>
    <w:rsid w:val="00134708"/>
    <w:rsid w:val="00211A42"/>
    <w:rsid w:val="00212A1A"/>
    <w:rsid w:val="00227AA2"/>
    <w:rsid w:val="00237AB7"/>
    <w:rsid w:val="002462B7"/>
    <w:rsid w:val="00272406"/>
    <w:rsid w:val="00341FBE"/>
    <w:rsid w:val="003959B0"/>
    <w:rsid w:val="003B50ED"/>
    <w:rsid w:val="004A41F7"/>
    <w:rsid w:val="00581D39"/>
    <w:rsid w:val="005A768E"/>
    <w:rsid w:val="00616D90"/>
    <w:rsid w:val="0063177A"/>
    <w:rsid w:val="006354AB"/>
    <w:rsid w:val="00657F02"/>
    <w:rsid w:val="006B1248"/>
    <w:rsid w:val="006C1493"/>
    <w:rsid w:val="006E491B"/>
    <w:rsid w:val="007068C2"/>
    <w:rsid w:val="0076523E"/>
    <w:rsid w:val="00772D1A"/>
    <w:rsid w:val="00783B2C"/>
    <w:rsid w:val="007B4C1A"/>
    <w:rsid w:val="0082122F"/>
    <w:rsid w:val="0084108F"/>
    <w:rsid w:val="00880E31"/>
    <w:rsid w:val="008E6D41"/>
    <w:rsid w:val="0093370A"/>
    <w:rsid w:val="0093499C"/>
    <w:rsid w:val="009759B1"/>
    <w:rsid w:val="00982F89"/>
    <w:rsid w:val="00987928"/>
    <w:rsid w:val="009B31B2"/>
    <w:rsid w:val="00A748BA"/>
    <w:rsid w:val="00AA48A8"/>
    <w:rsid w:val="00AF6325"/>
    <w:rsid w:val="00B2356E"/>
    <w:rsid w:val="00B44D0F"/>
    <w:rsid w:val="00B45F9C"/>
    <w:rsid w:val="00C34BC2"/>
    <w:rsid w:val="00CD5F5E"/>
    <w:rsid w:val="00CE39B3"/>
    <w:rsid w:val="00CF1CDA"/>
    <w:rsid w:val="00D92327"/>
    <w:rsid w:val="00DE26A5"/>
    <w:rsid w:val="00DF6B05"/>
    <w:rsid w:val="00E13153"/>
    <w:rsid w:val="00E642AA"/>
    <w:rsid w:val="00ED49D9"/>
    <w:rsid w:val="00F37284"/>
    <w:rsid w:val="00F4079E"/>
    <w:rsid w:val="00F47843"/>
    <w:rsid w:val="00F77EA4"/>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numPr>
        <w:numId w:val="1"/>
      </w:numPr>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rsid w:val="005A768E"/>
    <w:pPr>
      <w:spacing w:after="120"/>
    </w:pPr>
  </w:style>
  <w:style w:type="character" w:customStyle="1" w:styleId="TextoindependienteCar">
    <w:name w:val="Texto independiente Car"/>
    <w:basedOn w:val="Fuentedeprrafopredeter"/>
    <w:link w:val="Textoindependiente"/>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iPriority w:val="99"/>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numPr>
        <w:numId w:val="6"/>
      </w:numPr>
      <w:spacing w:before="6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0702E4"/>
    <w:pPr>
      <w:spacing w:after="120" w:line="480" w:lineRule="auto"/>
    </w:pPr>
  </w:style>
  <w:style w:type="character" w:customStyle="1" w:styleId="Textoindependiente2Car">
    <w:name w:val="Texto independiente 2 Car"/>
    <w:basedOn w:val="Fuentedeprrafopredeter"/>
    <w:link w:val="Textoindependiente2"/>
    <w:uiPriority w:val="99"/>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customXml/itemProps3.xml><?xml version="1.0" encoding="utf-8"?>
<ds:datastoreItem xmlns:ds="http://schemas.openxmlformats.org/officeDocument/2006/customXml" ds:itemID="{5D50F0A3-A173-4B90-B383-33163E36363F}">
  <ds:schemaRefs>
    <ds:schemaRef ds:uri="http://schemas.microsoft.com/office/2006/metadata/properties"/>
    <ds:schemaRef ds:uri="http://schemas.microsoft.com/office/infopath/2007/PartnerControls"/>
    <ds:schemaRef ds:uri="315842a7-4cff-4ca6-8fb0-a6562d7ae952"/>
  </ds:schemaRefs>
</ds:datastoreItem>
</file>

<file path=customXml/itemProps4.xml><?xml version="1.0" encoding="utf-8"?>
<ds:datastoreItem xmlns:ds="http://schemas.openxmlformats.org/officeDocument/2006/customXml" ds:itemID="{B259F1B5-0751-4BDF-B416-158F280C5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4305</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2022-05-17T21:38:00Z</dcterms:created>
  <dcterms:modified xsi:type="dcterms:W3CDTF">2022-05-17T21:38:00Z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