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35C19" w14:textId="576EBCCF" w:rsidR="007068C2" w:rsidRPr="007068C2" w:rsidRDefault="00873D09" w:rsidP="00873D09">
      <w:pPr>
        <w:widowControl w:val="0"/>
        <w:contextualSpacing/>
        <w:rPr>
          <w:rFonts w:ascii="Arial" w:eastAsia="Cambria" w:hAnsi="Arial" w:cs="Arial"/>
          <w:b/>
          <w:szCs w:val="22"/>
          <w:lang w:val="es-CR" w:eastAsia="en-US"/>
        </w:rPr>
      </w:pPr>
      <w:r w:rsidRPr="004751DD">
        <w:rPr>
          <w:rFonts w:ascii="Arial" w:hAnsi="Arial" w:cs="Arial"/>
          <w:b/>
        </w:rPr>
        <w:t>SGV-A-</w:t>
      </w:r>
      <w:r>
        <w:rPr>
          <w:rFonts w:ascii="Arial" w:hAnsi="Arial" w:cs="Arial"/>
          <w:b/>
        </w:rPr>
        <w:t>268</w:t>
      </w:r>
      <w:r w:rsidRPr="004751DD">
        <w:rPr>
          <w:rFonts w:ascii="Arial" w:hAnsi="Arial" w:cs="Arial"/>
          <w:b/>
        </w:rPr>
        <w:t xml:space="preserve"> REFORMA AL SGV-A-158 GUÍA PARA LA ELABORACIÓN Y REMISIÓN DE PROSPECTOS DE FONDOS DE INVERSIÓN</w:t>
      </w:r>
      <w:r w:rsidR="007068C2" w:rsidRPr="007068C2">
        <w:rPr>
          <w:rFonts w:ascii="Arial" w:eastAsia="Cambria" w:hAnsi="Arial" w:cs="Arial"/>
          <w:b/>
          <w:szCs w:val="22"/>
          <w:vertAlign w:val="superscript"/>
          <w:lang w:val="es-CR" w:eastAsia="en-US"/>
        </w:rPr>
        <w:footnoteReference w:id="1"/>
      </w:r>
    </w:p>
    <w:p w14:paraId="49D101EC" w14:textId="77777777" w:rsidR="007068C2" w:rsidRPr="007068C2" w:rsidRDefault="007068C2" w:rsidP="007068C2">
      <w:pPr>
        <w:widowControl w:val="0"/>
        <w:autoSpaceDE w:val="0"/>
        <w:autoSpaceDN w:val="0"/>
        <w:spacing w:line="252" w:lineRule="auto"/>
        <w:contextualSpacing/>
        <w:jc w:val="both"/>
        <w:rPr>
          <w:rFonts w:ascii="Arial" w:eastAsia="Cambria" w:hAnsi="Arial" w:cs="Arial"/>
          <w:szCs w:val="22"/>
          <w:lang w:val="es-CR"/>
        </w:rPr>
      </w:pPr>
    </w:p>
    <w:p w14:paraId="386D2F8B" w14:textId="77777777" w:rsidR="00873D09" w:rsidRPr="004751DD" w:rsidRDefault="00873D09" w:rsidP="00873D09">
      <w:pPr>
        <w:widowControl w:val="0"/>
        <w:contextualSpacing/>
        <w:jc w:val="both"/>
        <w:rPr>
          <w:rFonts w:ascii="Arial" w:hAnsi="Arial" w:cs="Arial"/>
          <w:b/>
        </w:rPr>
      </w:pPr>
      <w:r w:rsidRPr="004751DD">
        <w:rPr>
          <w:rFonts w:ascii="Arial" w:hAnsi="Arial" w:cs="Arial"/>
          <w:b/>
        </w:rPr>
        <w:t>Considerando que:</w:t>
      </w:r>
    </w:p>
    <w:p w14:paraId="4FC5C0A9" w14:textId="77777777" w:rsidR="00873D09" w:rsidRPr="004751DD" w:rsidRDefault="00873D09" w:rsidP="00873D09">
      <w:pPr>
        <w:widowControl w:val="0"/>
        <w:contextualSpacing/>
        <w:jc w:val="both"/>
        <w:rPr>
          <w:rFonts w:ascii="Arial" w:hAnsi="Arial" w:cs="Arial"/>
          <w:b/>
        </w:rPr>
      </w:pPr>
    </w:p>
    <w:p w14:paraId="707CF313" w14:textId="77777777" w:rsidR="00873D09" w:rsidRPr="004751DD" w:rsidRDefault="00873D09" w:rsidP="00873D09">
      <w:pPr>
        <w:pStyle w:val="Prrafodelista"/>
        <w:widowControl w:val="0"/>
        <w:numPr>
          <w:ilvl w:val="0"/>
          <w:numId w:val="15"/>
        </w:numPr>
        <w:tabs>
          <w:tab w:val="left" w:pos="851"/>
        </w:tabs>
        <w:ind w:left="709" w:hanging="283"/>
        <w:jc w:val="both"/>
        <w:rPr>
          <w:rFonts w:ascii="Arial" w:hAnsi="Arial" w:cs="Arial"/>
        </w:rPr>
      </w:pPr>
      <w:r w:rsidRPr="004751DD">
        <w:rPr>
          <w:rFonts w:ascii="Arial" w:hAnsi="Arial" w:cs="Arial"/>
        </w:rPr>
        <w:t xml:space="preserve">Mediante el artículo 17 del acta de la sesión 762-2008, del 19 de diciembre del 2008, el Consejo Nacional de Supervisión del Sistema Financiero aprobó el </w:t>
      </w:r>
      <w:r w:rsidRPr="004751DD">
        <w:rPr>
          <w:rFonts w:ascii="Arial" w:hAnsi="Arial" w:cs="Arial"/>
          <w:i/>
        </w:rPr>
        <w:t>Reglamento General sobre Sociedades Administradoras y Fondos de Inversión</w:t>
      </w:r>
      <w:r w:rsidRPr="004751DD">
        <w:rPr>
          <w:rFonts w:ascii="Arial" w:hAnsi="Arial" w:cs="Arial"/>
        </w:rPr>
        <w:t>.</w:t>
      </w:r>
    </w:p>
    <w:p w14:paraId="04861E63" w14:textId="77777777" w:rsidR="00873D09" w:rsidRPr="004751DD" w:rsidRDefault="00873D09" w:rsidP="00873D09">
      <w:pPr>
        <w:widowControl w:val="0"/>
        <w:tabs>
          <w:tab w:val="left" w:pos="567"/>
        </w:tabs>
        <w:ind w:left="426" w:hanging="426"/>
        <w:contextualSpacing/>
        <w:jc w:val="both"/>
        <w:rPr>
          <w:rFonts w:ascii="Arial" w:hAnsi="Arial" w:cs="Arial"/>
        </w:rPr>
      </w:pPr>
    </w:p>
    <w:p w14:paraId="28486075" w14:textId="77777777" w:rsidR="00873D09" w:rsidRPr="004751DD" w:rsidRDefault="00873D09" w:rsidP="00873D09">
      <w:pPr>
        <w:pStyle w:val="Prrafodelista"/>
        <w:widowControl w:val="0"/>
        <w:numPr>
          <w:ilvl w:val="0"/>
          <w:numId w:val="15"/>
        </w:numPr>
        <w:jc w:val="both"/>
        <w:rPr>
          <w:rFonts w:ascii="Arial" w:hAnsi="Arial" w:cs="Arial"/>
        </w:rPr>
      </w:pPr>
      <w:r w:rsidRPr="004751DD">
        <w:rPr>
          <w:rFonts w:ascii="Arial" w:hAnsi="Arial" w:cs="Arial"/>
        </w:rPr>
        <w:t xml:space="preserve">El artículo 19, 23, 24 y 25 del Reglamento dispone que el Superintendente General de Valores emitirá una guía que defina el contenido mínimo, las normas de presentación y diseño de los prospectos de fondos de inversión, así como la definición de los medios electrónicos que se utilizarán en los procedimientos de autorización y modificación de prospectos. </w:t>
      </w:r>
    </w:p>
    <w:p w14:paraId="7BA92D96" w14:textId="77777777" w:rsidR="00873D09" w:rsidRPr="004751DD" w:rsidRDefault="00873D09" w:rsidP="00873D09">
      <w:pPr>
        <w:pStyle w:val="Prrafodelista"/>
        <w:ind w:left="426" w:hanging="426"/>
        <w:rPr>
          <w:rFonts w:ascii="Arial" w:hAnsi="Arial" w:cs="Arial"/>
        </w:rPr>
      </w:pPr>
    </w:p>
    <w:p w14:paraId="2446BF77" w14:textId="77777777" w:rsidR="00873D09" w:rsidRPr="004751DD" w:rsidRDefault="00873D09" w:rsidP="00873D09">
      <w:pPr>
        <w:pStyle w:val="Prrafodelista"/>
        <w:widowControl w:val="0"/>
        <w:numPr>
          <w:ilvl w:val="0"/>
          <w:numId w:val="15"/>
        </w:numPr>
        <w:jc w:val="both"/>
        <w:rPr>
          <w:rFonts w:ascii="Arial" w:hAnsi="Arial" w:cs="Arial"/>
        </w:rPr>
      </w:pPr>
      <w:r w:rsidRPr="004751DD">
        <w:rPr>
          <w:rFonts w:ascii="Arial" w:hAnsi="Arial" w:cs="Arial"/>
        </w:rPr>
        <w:t xml:space="preserve">De conformidad con el artículo 8 de la </w:t>
      </w:r>
      <w:r w:rsidRPr="004751DD">
        <w:rPr>
          <w:rFonts w:ascii="Arial" w:hAnsi="Arial" w:cs="Arial"/>
          <w:i/>
        </w:rPr>
        <w:t>Ley Reguladora del Mercado de Valores</w:t>
      </w:r>
      <w:r w:rsidRPr="004751DD">
        <w:rPr>
          <w:rFonts w:ascii="Arial" w:hAnsi="Arial" w:cs="Arial"/>
        </w:rPr>
        <w:t>, corresponde al Superintendente General adoptar todas las acciones necesarias para el cumplimiento efectivo de las funciones de regulación, fiscalización y supervisión que le competen a la Superintendencia General de Valores.</w:t>
      </w:r>
    </w:p>
    <w:p w14:paraId="492C0854" w14:textId="77777777" w:rsidR="00873D09" w:rsidRPr="004751DD" w:rsidRDefault="00873D09" w:rsidP="00873D09">
      <w:pPr>
        <w:pStyle w:val="Prrafodelista"/>
        <w:widowControl w:val="0"/>
        <w:jc w:val="both"/>
        <w:rPr>
          <w:rFonts w:ascii="Arial" w:hAnsi="Arial" w:cs="Arial"/>
        </w:rPr>
      </w:pPr>
    </w:p>
    <w:p w14:paraId="39485F06" w14:textId="77777777" w:rsidR="00873D09" w:rsidRPr="004751DD" w:rsidRDefault="00873D09" w:rsidP="00873D09">
      <w:pPr>
        <w:pStyle w:val="Prrafodelista"/>
        <w:widowControl w:val="0"/>
        <w:numPr>
          <w:ilvl w:val="0"/>
          <w:numId w:val="15"/>
        </w:numPr>
        <w:jc w:val="both"/>
        <w:rPr>
          <w:rFonts w:ascii="Arial" w:hAnsi="Arial" w:cs="Arial"/>
        </w:rPr>
      </w:pPr>
      <w:r w:rsidRPr="004751DD">
        <w:rPr>
          <w:rFonts w:ascii="Arial" w:hAnsi="Arial" w:cs="Arial"/>
        </w:rPr>
        <w:t>El Consejo Nacional de Supervisión del Sistema Financiero, mediante los artículos 9 y 6 de las actas de las sesiones 1734-2022 y 1735-2022, celebradas el 27 de mayo del 2022, aprobó una modificación al Reglamento General sobre Sociedades Administradoras de Fondos de Inversión- SUGEVAL con el objetivo de incorporar lo requerido en la Ley 10051 “</w:t>
      </w:r>
      <w:r w:rsidRPr="004751DD">
        <w:rPr>
          <w:rFonts w:ascii="Arial" w:hAnsi="Arial" w:cs="Arial"/>
          <w:i/>
          <w:iCs/>
        </w:rPr>
        <w:t>Ley para potenciar el financiamiento y la inversión para el desarrollo sostenible, mediante el uso de valores de oferta pública temáticos</w:t>
      </w:r>
      <w:r w:rsidRPr="004751DD">
        <w:rPr>
          <w:rFonts w:ascii="Arial" w:hAnsi="Arial" w:cs="Arial"/>
        </w:rPr>
        <w:t>”.</w:t>
      </w:r>
    </w:p>
    <w:p w14:paraId="28724139" w14:textId="77777777" w:rsidR="00873D09" w:rsidRPr="004751DD" w:rsidRDefault="00873D09" w:rsidP="00873D09">
      <w:pPr>
        <w:widowControl w:val="0"/>
        <w:contextualSpacing/>
        <w:jc w:val="both"/>
        <w:rPr>
          <w:rFonts w:ascii="Arial" w:hAnsi="Arial" w:cs="Arial"/>
        </w:rPr>
      </w:pPr>
    </w:p>
    <w:p w14:paraId="423CEB98" w14:textId="77777777" w:rsidR="00873D09" w:rsidRPr="004751DD" w:rsidRDefault="00873D09" w:rsidP="00873D09">
      <w:pPr>
        <w:pStyle w:val="Prrafodelista"/>
        <w:widowControl w:val="0"/>
        <w:numPr>
          <w:ilvl w:val="0"/>
          <w:numId w:val="15"/>
        </w:numPr>
        <w:jc w:val="both"/>
        <w:rPr>
          <w:rFonts w:ascii="Arial" w:hAnsi="Arial" w:cs="Arial"/>
        </w:rPr>
      </w:pPr>
      <w:r w:rsidRPr="004751DD">
        <w:rPr>
          <w:rFonts w:ascii="Arial" w:hAnsi="Arial" w:cs="Arial"/>
        </w:rPr>
        <w:t>La presente reforma al Acuerdo fue sometida a consulta de conformidad con el Artículo 361 de la Ley General de Administración Pública. Al término de la consulta se hizo un análisis de los comentarios y las observaciones recibidas y se modificó el texto en lo que se consideró pertinente.</w:t>
      </w:r>
    </w:p>
    <w:p w14:paraId="3626EF6D" w14:textId="77777777" w:rsidR="00873D09" w:rsidRPr="004751DD" w:rsidRDefault="00873D09" w:rsidP="00873D09">
      <w:pPr>
        <w:widowControl w:val="0"/>
        <w:ind w:left="426" w:hanging="426"/>
        <w:contextualSpacing/>
        <w:jc w:val="both"/>
        <w:rPr>
          <w:rFonts w:ascii="Arial" w:hAnsi="Arial" w:cs="Arial"/>
        </w:rPr>
      </w:pPr>
    </w:p>
    <w:p w14:paraId="0EBBEDD6" w14:textId="77777777" w:rsidR="00873D09" w:rsidRPr="004751DD" w:rsidRDefault="00873D09" w:rsidP="00873D09">
      <w:pPr>
        <w:jc w:val="both"/>
        <w:rPr>
          <w:rFonts w:ascii="Arial" w:hAnsi="Arial" w:cs="Arial"/>
        </w:rPr>
      </w:pPr>
      <w:r w:rsidRPr="004751DD">
        <w:rPr>
          <w:rFonts w:ascii="Arial" w:hAnsi="Arial" w:cs="Arial"/>
        </w:rPr>
        <w:t>Por tanto, dispone el presente acuerdo:</w:t>
      </w:r>
    </w:p>
    <w:p w14:paraId="5A9FD7EC" w14:textId="77777777" w:rsidR="00873D09" w:rsidRPr="004751DD" w:rsidRDefault="00873D09" w:rsidP="00873D09">
      <w:pPr>
        <w:contextualSpacing/>
        <w:rPr>
          <w:rFonts w:ascii="Arial" w:hAnsi="Arial" w:cs="Arial"/>
        </w:rPr>
      </w:pPr>
    </w:p>
    <w:p w14:paraId="412B66E1" w14:textId="77777777" w:rsidR="00873D09" w:rsidRPr="004751DD" w:rsidRDefault="00873D09" w:rsidP="00873D09">
      <w:pPr>
        <w:widowControl w:val="0"/>
        <w:contextualSpacing/>
        <w:jc w:val="center"/>
        <w:rPr>
          <w:rFonts w:ascii="Arial" w:hAnsi="Arial" w:cs="Arial"/>
          <w:b/>
        </w:rPr>
      </w:pPr>
      <w:r w:rsidRPr="004751DD">
        <w:rPr>
          <w:rFonts w:ascii="Arial" w:hAnsi="Arial" w:cs="Arial"/>
          <w:b/>
        </w:rPr>
        <w:t>SGV-A-</w:t>
      </w:r>
      <w:r>
        <w:rPr>
          <w:rFonts w:ascii="Arial" w:hAnsi="Arial" w:cs="Arial"/>
          <w:b/>
        </w:rPr>
        <w:t>268</w:t>
      </w:r>
      <w:r w:rsidRPr="004751DD">
        <w:rPr>
          <w:rFonts w:ascii="Arial" w:hAnsi="Arial" w:cs="Arial"/>
          <w:b/>
        </w:rPr>
        <w:t xml:space="preserve"> REFORMA AL SGV-A-158 GUÍA PARA LA ELABORACIÓN Y REMISIÓN DE PROSPECTOS DE FONDOS DE INVERSIÓN</w:t>
      </w:r>
    </w:p>
    <w:p w14:paraId="3916A007" w14:textId="77777777" w:rsidR="00873D09" w:rsidRPr="004751DD" w:rsidRDefault="00873D09" w:rsidP="00873D09">
      <w:pPr>
        <w:widowControl w:val="0"/>
        <w:contextualSpacing/>
        <w:jc w:val="center"/>
        <w:rPr>
          <w:rFonts w:ascii="Arial" w:hAnsi="Arial" w:cs="Arial"/>
          <w:b/>
        </w:rPr>
      </w:pPr>
    </w:p>
    <w:p w14:paraId="340601AA" w14:textId="77777777" w:rsidR="00873D09" w:rsidRPr="004751DD" w:rsidRDefault="00873D09" w:rsidP="00873D09">
      <w:pPr>
        <w:widowControl w:val="0"/>
        <w:contextualSpacing/>
        <w:jc w:val="both"/>
        <w:rPr>
          <w:rFonts w:ascii="Arial" w:hAnsi="Arial" w:cs="Arial"/>
          <w:b/>
        </w:rPr>
      </w:pPr>
      <w:r w:rsidRPr="004751DD">
        <w:rPr>
          <w:rFonts w:ascii="Arial" w:hAnsi="Arial" w:cs="Arial"/>
          <w:b/>
        </w:rPr>
        <w:t>Artículo 1.  Adicionar el inciso 4B.3 a la Guía para la elaboración y remisión de prospectos de fondos de inversión.</w:t>
      </w:r>
    </w:p>
    <w:p w14:paraId="657A976B" w14:textId="77777777" w:rsidR="00873D09" w:rsidRPr="004751DD" w:rsidRDefault="00873D09" w:rsidP="00873D09">
      <w:pPr>
        <w:widowControl w:val="0"/>
        <w:contextualSpacing/>
        <w:jc w:val="both"/>
        <w:rPr>
          <w:rFonts w:ascii="Arial" w:hAnsi="Arial" w:cs="Arial"/>
          <w:b/>
        </w:rPr>
      </w:pPr>
    </w:p>
    <w:p w14:paraId="2B0FDAB5" w14:textId="77777777" w:rsidR="00873D09" w:rsidRPr="004751DD" w:rsidRDefault="00873D09" w:rsidP="00873D09">
      <w:pPr>
        <w:widowControl w:val="0"/>
        <w:contextualSpacing/>
        <w:jc w:val="both"/>
        <w:rPr>
          <w:rFonts w:ascii="Arial" w:hAnsi="Arial" w:cs="Arial"/>
        </w:rPr>
      </w:pPr>
      <w:r w:rsidRPr="004751DD">
        <w:rPr>
          <w:rFonts w:ascii="Arial" w:hAnsi="Arial" w:cs="Arial"/>
        </w:rPr>
        <w:t>Se adiciona el inciso 4B.3 al Apartado 4B. Disposiciones operativas, del Anexo 1, del documento SGV-A-158 Guía para la elaboración y remisión de prospectos de fondos de inversión, de conformidad con el siguiente texto:</w:t>
      </w:r>
    </w:p>
    <w:p w14:paraId="1A462EBE" w14:textId="77777777" w:rsidR="00873D09" w:rsidRPr="004751DD" w:rsidRDefault="00873D09" w:rsidP="00873D09">
      <w:pPr>
        <w:widowControl w:val="0"/>
        <w:contextualSpacing/>
        <w:jc w:val="both"/>
        <w:rPr>
          <w:rFonts w:ascii="Arial" w:hAnsi="Arial" w:cs="Arial"/>
        </w:rPr>
      </w:pPr>
    </w:p>
    <w:p w14:paraId="117BF276" w14:textId="77777777" w:rsidR="00873D09" w:rsidRPr="004751DD" w:rsidRDefault="00873D09" w:rsidP="00873D09">
      <w:pPr>
        <w:pStyle w:val="CNV"/>
        <w:widowControl w:val="0"/>
        <w:ind w:right="-1"/>
        <w:contextualSpacing/>
        <w:rPr>
          <w:rFonts w:ascii="Arial" w:hAnsi="Arial" w:cs="Arial"/>
          <w:i/>
          <w:iCs/>
          <w:color w:val="000000"/>
          <w:sz w:val="22"/>
          <w:szCs w:val="22"/>
          <w:lang w:val="es-CR"/>
        </w:rPr>
      </w:pPr>
      <w:r w:rsidRPr="004751DD">
        <w:rPr>
          <w:rFonts w:ascii="Arial" w:hAnsi="Arial" w:cs="Arial"/>
          <w:i/>
          <w:iCs/>
          <w:color w:val="000000"/>
          <w:sz w:val="22"/>
          <w:szCs w:val="22"/>
          <w:lang w:val="es-CR"/>
        </w:rPr>
        <w:t>“</w:t>
      </w:r>
      <w:r w:rsidRPr="004751DD">
        <w:rPr>
          <w:rFonts w:ascii="Arial" w:eastAsia="Calibri" w:hAnsi="Arial" w:cs="Arial"/>
          <w:sz w:val="22"/>
          <w:szCs w:val="22"/>
          <w:lang w:val="es-CR"/>
        </w:rPr>
        <w:t xml:space="preserve">4B.3. En el caso de que se hayan definido objetivos o lineamientos de la entidad en </w:t>
      </w:r>
      <w:r w:rsidRPr="004751DD">
        <w:rPr>
          <w:rFonts w:ascii="Arial" w:eastAsia="Calibri" w:hAnsi="Arial" w:cs="Arial"/>
          <w:sz w:val="22"/>
          <w:szCs w:val="22"/>
          <w:lang w:val="es-CR"/>
        </w:rPr>
        <w:lastRenderedPageBreak/>
        <w:t>relación con los temas ambientales, sociales y de gobernanza, se debe revelar:</w:t>
      </w:r>
    </w:p>
    <w:p w14:paraId="5B115EA0" w14:textId="77777777" w:rsidR="00873D09" w:rsidRPr="004751DD" w:rsidRDefault="00873D09" w:rsidP="00873D09">
      <w:pPr>
        <w:pStyle w:val="CNV"/>
        <w:widowControl w:val="0"/>
        <w:ind w:right="-1" w:firstLine="360"/>
        <w:contextualSpacing/>
        <w:rPr>
          <w:rFonts w:ascii="Arial" w:hAnsi="Arial" w:cs="Arial"/>
          <w:color w:val="000000"/>
          <w:sz w:val="22"/>
          <w:szCs w:val="22"/>
          <w:lang w:val="es-CR"/>
        </w:rPr>
      </w:pPr>
    </w:p>
    <w:tbl>
      <w:tblPr>
        <w:tblW w:w="93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08"/>
        <w:gridCol w:w="7209"/>
      </w:tblGrid>
      <w:tr w:rsidR="00873D09" w:rsidRPr="004751DD" w14:paraId="648B634A" w14:textId="77777777" w:rsidTr="002A2F04">
        <w:trPr>
          <w:jc w:val="center"/>
        </w:trPr>
        <w:tc>
          <w:tcPr>
            <w:tcW w:w="9317" w:type="dxa"/>
            <w:gridSpan w:val="2"/>
            <w:tcBorders>
              <w:top w:val="single" w:sz="4" w:space="0" w:color="auto"/>
              <w:left w:val="single" w:sz="4" w:space="0" w:color="auto"/>
              <w:bottom w:val="single" w:sz="6" w:space="0" w:color="auto"/>
              <w:right w:val="single" w:sz="4" w:space="0" w:color="auto"/>
            </w:tcBorders>
            <w:vAlign w:val="center"/>
            <w:hideMark/>
          </w:tcPr>
          <w:p w14:paraId="4467FE16" w14:textId="77777777" w:rsidR="00873D09" w:rsidRPr="004751DD" w:rsidRDefault="00873D09" w:rsidP="002A2F04">
            <w:pPr>
              <w:pStyle w:val="CNV"/>
              <w:widowControl w:val="0"/>
              <w:tabs>
                <w:tab w:val="left" w:pos="8910"/>
              </w:tabs>
              <w:contextualSpacing/>
              <w:jc w:val="center"/>
              <w:rPr>
                <w:rFonts w:ascii="Arial" w:hAnsi="Arial" w:cs="Arial"/>
                <w:b/>
                <w:color w:val="000000"/>
                <w:sz w:val="22"/>
                <w:szCs w:val="22"/>
              </w:rPr>
            </w:pPr>
            <w:r w:rsidRPr="004751DD">
              <w:rPr>
                <w:rFonts w:ascii="Arial" w:hAnsi="Arial" w:cs="Arial"/>
                <w:b/>
                <w:color w:val="000000"/>
                <w:sz w:val="22"/>
                <w:szCs w:val="22"/>
              </w:rPr>
              <w:t xml:space="preserve">Disposiciones ambientales, sociales y de gobernanza </w:t>
            </w:r>
          </w:p>
        </w:tc>
      </w:tr>
      <w:tr w:rsidR="00873D09" w:rsidRPr="004751DD" w14:paraId="1DB807A6" w14:textId="77777777" w:rsidTr="002A2F04">
        <w:trPr>
          <w:jc w:val="center"/>
        </w:trPr>
        <w:tc>
          <w:tcPr>
            <w:tcW w:w="2108" w:type="dxa"/>
            <w:tcBorders>
              <w:top w:val="single" w:sz="6" w:space="0" w:color="auto"/>
              <w:left w:val="single" w:sz="4" w:space="0" w:color="auto"/>
              <w:bottom w:val="single" w:sz="4" w:space="0" w:color="auto"/>
              <w:right w:val="single" w:sz="6" w:space="0" w:color="auto"/>
            </w:tcBorders>
            <w:vAlign w:val="center"/>
            <w:hideMark/>
          </w:tcPr>
          <w:p w14:paraId="526CEACB" w14:textId="77777777" w:rsidR="00873D09" w:rsidRPr="004751DD" w:rsidRDefault="00873D09" w:rsidP="002A2F04">
            <w:pPr>
              <w:pStyle w:val="CNV"/>
              <w:widowControl w:val="0"/>
              <w:tabs>
                <w:tab w:val="left" w:pos="8910"/>
              </w:tabs>
              <w:contextualSpacing/>
              <w:jc w:val="center"/>
              <w:rPr>
                <w:rFonts w:ascii="Arial" w:hAnsi="Arial" w:cs="Arial"/>
                <w:b/>
                <w:bCs/>
                <w:i/>
                <w:iCs/>
                <w:color w:val="000000"/>
                <w:sz w:val="22"/>
                <w:szCs w:val="22"/>
              </w:rPr>
            </w:pPr>
            <w:r w:rsidRPr="004751DD">
              <w:rPr>
                <w:rFonts w:ascii="Arial" w:hAnsi="Arial" w:cs="Arial"/>
                <w:b/>
                <w:bCs/>
                <w:i/>
                <w:iCs/>
                <w:color w:val="000000"/>
                <w:sz w:val="22"/>
                <w:szCs w:val="22"/>
              </w:rPr>
              <w:t>Objetivos o lineamientos de gestión de activos bajo factores ambientales, sociales y de gobernanza.</w:t>
            </w:r>
          </w:p>
        </w:tc>
        <w:tc>
          <w:tcPr>
            <w:tcW w:w="7209" w:type="dxa"/>
            <w:tcBorders>
              <w:top w:val="single" w:sz="6" w:space="0" w:color="auto"/>
              <w:left w:val="single" w:sz="6" w:space="0" w:color="auto"/>
              <w:bottom w:val="single" w:sz="4" w:space="0" w:color="auto"/>
              <w:right w:val="single" w:sz="4" w:space="0" w:color="auto"/>
            </w:tcBorders>
            <w:vAlign w:val="center"/>
            <w:hideMark/>
          </w:tcPr>
          <w:p w14:paraId="37785094" w14:textId="77777777" w:rsidR="00873D09" w:rsidRPr="004751DD" w:rsidRDefault="00873D09" w:rsidP="002A2F04">
            <w:pPr>
              <w:pStyle w:val="CNV"/>
              <w:widowControl w:val="0"/>
              <w:tabs>
                <w:tab w:val="left" w:pos="8910"/>
              </w:tabs>
              <w:contextualSpacing/>
              <w:jc w:val="center"/>
              <w:rPr>
                <w:rFonts w:ascii="Arial" w:hAnsi="Arial" w:cs="Arial"/>
                <w:i/>
                <w:color w:val="000000"/>
                <w:sz w:val="22"/>
                <w:szCs w:val="22"/>
                <w:lang w:val="es-CR"/>
              </w:rPr>
            </w:pPr>
            <w:r w:rsidRPr="004751DD">
              <w:rPr>
                <w:rFonts w:ascii="Arial" w:hAnsi="Arial" w:cs="Arial"/>
                <w:i/>
                <w:color w:val="000000"/>
                <w:sz w:val="22"/>
                <w:szCs w:val="22"/>
                <w:lang w:val="es-CR"/>
              </w:rPr>
              <w:t>Describir los objetivos o lineamientos aprobados para el fondo relacionados con los factores ambientales, sociales y de gobernanza, y describir la participación de los órganos de administración, dirección y supervisión en el seguimiento y supervisión de las acciones realizadas para la consecución de dichos objetivos.</w:t>
            </w:r>
          </w:p>
        </w:tc>
      </w:tr>
    </w:tbl>
    <w:p w14:paraId="380A2287" w14:textId="77777777" w:rsidR="00873D09" w:rsidRPr="004751DD" w:rsidRDefault="00873D09" w:rsidP="00873D09">
      <w:pPr>
        <w:contextualSpacing/>
        <w:jc w:val="both"/>
        <w:rPr>
          <w:rFonts w:ascii="Arial" w:hAnsi="Arial" w:cs="Arial"/>
        </w:rPr>
      </w:pPr>
      <w:r w:rsidRPr="004751DD">
        <w:rPr>
          <w:rFonts w:ascii="Arial" w:hAnsi="Arial" w:cs="Arial"/>
        </w:rPr>
        <w:t>”</w:t>
      </w:r>
    </w:p>
    <w:p w14:paraId="77DB69DC" w14:textId="77777777" w:rsidR="00873D09" w:rsidRPr="004751DD" w:rsidRDefault="00873D09" w:rsidP="00873D09">
      <w:pPr>
        <w:widowControl w:val="0"/>
        <w:contextualSpacing/>
        <w:jc w:val="both"/>
        <w:rPr>
          <w:rFonts w:ascii="Arial" w:hAnsi="Arial" w:cs="Arial"/>
          <w:b/>
        </w:rPr>
      </w:pPr>
      <w:r w:rsidRPr="004751DD">
        <w:rPr>
          <w:rFonts w:ascii="Arial" w:hAnsi="Arial" w:cs="Arial"/>
          <w:b/>
        </w:rPr>
        <w:t xml:space="preserve">Artículo 2. Vigencia. </w:t>
      </w:r>
    </w:p>
    <w:p w14:paraId="37790E70" w14:textId="77777777" w:rsidR="00873D09" w:rsidRPr="004751DD" w:rsidRDefault="00873D09" w:rsidP="00873D09">
      <w:pPr>
        <w:widowControl w:val="0"/>
        <w:contextualSpacing/>
        <w:jc w:val="both"/>
        <w:rPr>
          <w:rFonts w:ascii="Arial" w:hAnsi="Arial" w:cs="Arial"/>
          <w:b/>
        </w:rPr>
      </w:pPr>
    </w:p>
    <w:p w14:paraId="3A2BBFB8" w14:textId="77777777" w:rsidR="00873D09" w:rsidRPr="004751DD" w:rsidRDefault="00873D09" w:rsidP="00873D09">
      <w:pPr>
        <w:widowControl w:val="0"/>
        <w:contextualSpacing/>
        <w:jc w:val="both"/>
        <w:rPr>
          <w:rFonts w:ascii="Arial" w:hAnsi="Arial" w:cs="Arial"/>
          <w:bCs/>
        </w:rPr>
      </w:pPr>
      <w:r w:rsidRPr="004751DD">
        <w:rPr>
          <w:rFonts w:ascii="Arial" w:hAnsi="Arial" w:cs="Arial"/>
          <w:bCs/>
        </w:rPr>
        <w:t>Rige a partir de su publicación en el diario oficial La Gaceta.</w:t>
      </w:r>
    </w:p>
    <w:p w14:paraId="3B66D84D" w14:textId="77777777" w:rsidR="00873D09" w:rsidRPr="005F2820" w:rsidRDefault="00873D09" w:rsidP="00873D09">
      <w:pPr>
        <w:contextualSpacing/>
        <w:rPr>
          <w:b/>
          <w:bCs/>
        </w:rPr>
      </w:pPr>
    </w:p>
    <w:p w14:paraId="7384CF5F" w14:textId="4AD5381E" w:rsidR="00873D09" w:rsidRDefault="00873D09" w:rsidP="00873D09"/>
    <w:p w14:paraId="491461B4" w14:textId="77777777" w:rsidR="00873D09" w:rsidRPr="001B6646" w:rsidRDefault="00873D09" w:rsidP="00873D09">
      <w:pPr>
        <w:rPr>
          <w:rFonts w:ascii="Arial" w:hAnsi="Arial" w:cs="Arial"/>
          <w:sz w:val="24"/>
        </w:rPr>
      </w:pPr>
    </w:p>
    <w:p w14:paraId="6E7D8B86" w14:textId="57FC8646" w:rsidR="00B2356E" w:rsidRPr="007068C2" w:rsidRDefault="00B2356E" w:rsidP="00873D09">
      <w:pPr>
        <w:widowControl w:val="0"/>
        <w:tabs>
          <w:tab w:val="left" w:pos="2835"/>
        </w:tabs>
        <w:spacing w:before="240" w:after="240"/>
        <w:jc w:val="both"/>
        <w:outlineLvl w:val="0"/>
        <w:rPr>
          <w:rFonts w:ascii="Arial" w:hAnsi="Arial" w:cs="Arial"/>
          <w:b/>
          <w:szCs w:val="22"/>
          <w:lang w:val="es-CR" w:eastAsia="en-US"/>
        </w:rPr>
      </w:pPr>
    </w:p>
    <w:sectPr w:rsidR="00B2356E" w:rsidRPr="007068C2"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5E817" w14:textId="77777777" w:rsidR="00C26D9C" w:rsidRDefault="00C26D9C" w:rsidP="005A768E">
      <w:r>
        <w:separator/>
      </w:r>
    </w:p>
  </w:endnote>
  <w:endnote w:type="continuationSeparator" w:id="0">
    <w:p w14:paraId="59C99852" w14:textId="77777777" w:rsidR="00C26D9C" w:rsidRDefault="00C26D9C"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BAD14" w14:textId="77777777" w:rsidR="00C26D9C" w:rsidRDefault="00C26D9C" w:rsidP="005A768E">
      <w:r>
        <w:separator/>
      </w:r>
    </w:p>
  </w:footnote>
  <w:footnote w:type="continuationSeparator" w:id="0">
    <w:p w14:paraId="020C76EE" w14:textId="77777777" w:rsidR="00C26D9C" w:rsidRDefault="00C26D9C" w:rsidP="005A768E">
      <w:r>
        <w:continuationSeparator/>
      </w:r>
    </w:p>
  </w:footnote>
  <w:footnote w:id="1">
    <w:p w14:paraId="743932E4" w14:textId="50F76691" w:rsidR="007068C2" w:rsidRPr="00B42C03" w:rsidRDefault="007068C2" w:rsidP="007068C2">
      <w:pPr>
        <w:jc w:val="both"/>
        <w:rPr>
          <w:rFonts w:ascii="Arial" w:hAnsi="Arial" w:cs="Arial"/>
          <w:lang w:val="es-MX"/>
        </w:rPr>
      </w:pPr>
      <w:r>
        <w:rPr>
          <w:rStyle w:val="Refdenotaalpie"/>
        </w:rPr>
        <w:footnoteRef/>
      </w:r>
      <w:r>
        <w:t xml:space="preserve"> </w:t>
      </w:r>
      <w:r w:rsidRPr="00B42C03">
        <w:rPr>
          <w:rFonts w:ascii="Arial" w:hAnsi="Arial" w:cs="Arial"/>
          <w:lang w:val="es-MX"/>
        </w:rPr>
        <w:t>Superintendencia General de Valores.  Despacho de</w:t>
      </w:r>
      <w:r>
        <w:rPr>
          <w:rFonts w:ascii="Arial" w:hAnsi="Arial" w:cs="Arial"/>
          <w:lang w:val="es-MX"/>
        </w:rPr>
        <w:t xml:space="preserve"> </w:t>
      </w:r>
      <w:r w:rsidRPr="00B42C03">
        <w:rPr>
          <w:rFonts w:ascii="Arial" w:hAnsi="Arial" w:cs="Arial"/>
          <w:lang w:val="es-MX"/>
        </w:rPr>
        <w:t>l</w:t>
      </w:r>
      <w:r>
        <w:rPr>
          <w:rFonts w:ascii="Arial" w:hAnsi="Arial" w:cs="Arial"/>
          <w:lang w:val="es-MX"/>
        </w:rPr>
        <w:t>a</w:t>
      </w:r>
      <w:r w:rsidRPr="00B42C03">
        <w:rPr>
          <w:rFonts w:ascii="Arial" w:hAnsi="Arial" w:cs="Arial"/>
          <w:lang w:val="es-MX"/>
        </w:rPr>
        <w:t xml:space="preserve"> Superintendente.  A las </w:t>
      </w:r>
      <w:r w:rsidR="002445BF">
        <w:rPr>
          <w:rFonts w:ascii="Arial" w:hAnsi="Arial" w:cs="Arial"/>
          <w:lang w:val="es-MX"/>
        </w:rPr>
        <w:t>nueve</w:t>
      </w:r>
      <w:r w:rsidR="00873D09">
        <w:rPr>
          <w:rFonts w:ascii="Arial" w:hAnsi="Arial" w:cs="Arial"/>
          <w:lang w:val="es-MX"/>
        </w:rPr>
        <w:t xml:space="preserve"> horas cinco minutos del </w:t>
      </w:r>
      <w:r w:rsidR="002445BF">
        <w:rPr>
          <w:rFonts w:ascii="Arial" w:hAnsi="Arial" w:cs="Arial"/>
          <w:lang w:val="es-MX"/>
        </w:rPr>
        <w:t>veintiuno</w:t>
      </w:r>
      <w:r w:rsidR="00873D09">
        <w:rPr>
          <w:rFonts w:ascii="Arial" w:hAnsi="Arial" w:cs="Arial"/>
          <w:lang w:val="es-MX"/>
        </w:rPr>
        <w:t xml:space="preserve"> de julio</w:t>
      </w:r>
      <w:r w:rsidRPr="00B42C03">
        <w:rPr>
          <w:rFonts w:ascii="Arial" w:hAnsi="Arial" w:cs="Arial"/>
          <w:lang w:val="es-MX"/>
        </w:rPr>
        <w:t xml:space="preserve"> del dos mil </w:t>
      </w:r>
      <w:r>
        <w:rPr>
          <w:rFonts w:ascii="Arial" w:hAnsi="Arial" w:cs="Arial"/>
          <w:lang w:val="es-MX"/>
        </w:rPr>
        <w:t>veintidós</w:t>
      </w:r>
      <w:r w:rsidRPr="00B42C03">
        <w:rPr>
          <w:rFonts w:ascii="Arial" w:hAnsi="Arial" w:cs="Arial"/>
          <w:lang w:val="es-MX"/>
        </w:rPr>
        <w:t>.</w:t>
      </w:r>
      <w:r w:rsidR="002200D1">
        <w:rPr>
          <w:rFonts w:ascii="Arial" w:hAnsi="Arial" w:cs="Arial"/>
          <w:lang w:val="es-MX"/>
        </w:rPr>
        <w:t xml:space="preserve"> Publicado en el Diario Oficial La Gaceta No. 141 del 26 de julio del 2022.</w:t>
      </w:r>
    </w:p>
    <w:p w14:paraId="51625BA0" w14:textId="77777777" w:rsidR="007068C2" w:rsidRPr="00792049" w:rsidRDefault="007068C2" w:rsidP="007068C2">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E4BE"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023D6D"/>
    <w:multiLevelType w:val="hybridMultilevel"/>
    <w:tmpl w:val="317246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8"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E6843"/>
    <w:multiLevelType w:val="hybridMultilevel"/>
    <w:tmpl w:val="1D2C7C3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6"/>
  </w:num>
  <w:num w:numId="3">
    <w:abstractNumId w:val="0"/>
  </w:num>
  <w:num w:numId="4">
    <w:abstractNumId w:val="11"/>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13"/>
  </w:num>
  <w:num w:numId="11">
    <w:abstractNumId w:val="7"/>
  </w:num>
  <w:num w:numId="12">
    <w:abstractNumId w:val="3"/>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702E4"/>
    <w:rsid w:val="000C43F5"/>
    <w:rsid w:val="000C62EE"/>
    <w:rsid w:val="000F4C2E"/>
    <w:rsid w:val="00134708"/>
    <w:rsid w:val="00211A42"/>
    <w:rsid w:val="00212A1A"/>
    <w:rsid w:val="002200D1"/>
    <w:rsid w:val="00227AA2"/>
    <w:rsid w:val="00237AB7"/>
    <w:rsid w:val="002445BF"/>
    <w:rsid w:val="002462B7"/>
    <w:rsid w:val="00272406"/>
    <w:rsid w:val="00341FBE"/>
    <w:rsid w:val="003959B0"/>
    <w:rsid w:val="003B50ED"/>
    <w:rsid w:val="004A41F7"/>
    <w:rsid w:val="00581D39"/>
    <w:rsid w:val="005A768E"/>
    <w:rsid w:val="00616D90"/>
    <w:rsid w:val="0063177A"/>
    <w:rsid w:val="006354AB"/>
    <w:rsid w:val="00657F02"/>
    <w:rsid w:val="006B1248"/>
    <w:rsid w:val="006C1493"/>
    <w:rsid w:val="006E491B"/>
    <w:rsid w:val="007068C2"/>
    <w:rsid w:val="0076523E"/>
    <w:rsid w:val="00772D1A"/>
    <w:rsid w:val="00783B2C"/>
    <w:rsid w:val="007B4C1A"/>
    <w:rsid w:val="0082122F"/>
    <w:rsid w:val="0084108F"/>
    <w:rsid w:val="00873D09"/>
    <w:rsid w:val="00880E31"/>
    <w:rsid w:val="008E6D41"/>
    <w:rsid w:val="0093370A"/>
    <w:rsid w:val="0093499C"/>
    <w:rsid w:val="009759B1"/>
    <w:rsid w:val="00982F89"/>
    <w:rsid w:val="00987928"/>
    <w:rsid w:val="009B31B2"/>
    <w:rsid w:val="00A748BA"/>
    <w:rsid w:val="00AA48A8"/>
    <w:rsid w:val="00AF6325"/>
    <w:rsid w:val="00B2356E"/>
    <w:rsid w:val="00B44D0F"/>
    <w:rsid w:val="00B45F9C"/>
    <w:rsid w:val="00C26D9C"/>
    <w:rsid w:val="00C34BC2"/>
    <w:rsid w:val="00CD5F5E"/>
    <w:rsid w:val="00CE39B3"/>
    <w:rsid w:val="00CF1CDA"/>
    <w:rsid w:val="00D92327"/>
    <w:rsid w:val="00DE26A5"/>
    <w:rsid w:val="00DF6B05"/>
    <w:rsid w:val="00E13153"/>
    <w:rsid w:val="00E642AA"/>
    <w:rsid w:val="00ED49D9"/>
    <w:rsid w:val="00F37284"/>
    <w:rsid w:val="00F4079E"/>
    <w:rsid w:val="00F47843"/>
    <w:rsid w:val="00F77EA4"/>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5A768E"/>
    <w:pPr>
      <w:spacing w:after="120"/>
    </w:pPr>
  </w:style>
  <w:style w:type="character" w:customStyle="1" w:styleId="TextoindependienteCar">
    <w:name w:val="Texto independiente Car"/>
    <w:basedOn w:val="Fuentedeprrafopredeter"/>
    <w:link w:val="Textoindependiente"/>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iPriority w:val="99"/>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0702E4"/>
    <w:pPr>
      <w:spacing w:after="120" w:line="480" w:lineRule="auto"/>
    </w:pPr>
  </w:style>
  <w:style w:type="character" w:customStyle="1" w:styleId="Textoindependiente2Car">
    <w:name w:val="Texto independiente 2 Car"/>
    <w:basedOn w:val="Fuentedeprrafopredeter"/>
    <w:link w:val="Textoindependiente2"/>
    <w:uiPriority w:val="99"/>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Props1.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customXml/itemProps2.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4.xml><?xml version="1.0" encoding="utf-8"?>
<ds:datastoreItem xmlns:ds="http://schemas.openxmlformats.org/officeDocument/2006/customXml" ds:itemID="{5D50F0A3-A173-4B90-B383-33163E36363F}">
  <ds:schemaRefs>
    <ds:schemaRef ds:uri="http://purl.org/dc/terms/"/>
    <ds:schemaRef ds:uri="http://purl.org/dc/dcmitype/"/>
    <ds:schemaRef ds:uri="fc66ef79-2d66-4fa3-90bd-e4f186d8d369"/>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15842a7-4cff-4ca6-8fb0-a6562d7ae9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2022-07-21T16:52:00Z</dcterms:created>
  <dcterms:modified xsi:type="dcterms:W3CDTF">2022-07-30T00:00:00Z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