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2096" w14:textId="77777777" w:rsidR="00F87CD2" w:rsidRPr="00F87CD2" w:rsidRDefault="00F87CD2" w:rsidP="00F87CD2">
      <w:pPr>
        <w:rPr>
          <w:rFonts w:ascii="Arial" w:eastAsia="Cambria" w:hAnsi="Arial" w:cs="Arial"/>
          <w:b/>
          <w:szCs w:val="22"/>
          <w:lang w:val="es-CR"/>
        </w:rPr>
      </w:pPr>
      <w:r w:rsidRPr="00F87CD2">
        <w:rPr>
          <w:rFonts w:ascii="Arial" w:hAnsi="Arial" w:cs="Arial"/>
          <w:b/>
          <w:sz w:val="24"/>
        </w:rPr>
        <w:t>S</w:t>
      </w:r>
      <w:r w:rsidRPr="00F87CD2">
        <w:rPr>
          <w:rFonts w:ascii="Arial" w:hAnsi="Arial" w:cs="Arial"/>
          <w:b/>
          <w:szCs w:val="22"/>
        </w:rPr>
        <w:t>GV-A-269.  MODIFICACIÓN A LOS ACUERDOS SGV-A-75 “SUMINISTRO DE INFORMACIÓN PERIÓDICA” y los acuerdos SGV-A-170, SGV-A-188 y SGV-A-257</w:t>
      </w:r>
      <w:r w:rsidRPr="00F87CD2">
        <w:rPr>
          <w:rFonts w:ascii="Arial" w:eastAsia="Cambria" w:hAnsi="Arial" w:cs="Arial"/>
          <w:b/>
          <w:szCs w:val="22"/>
          <w:vertAlign w:val="superscript"/>
          <w:lang w:val="es-CR"/>
        </w:rPr>
        <w:footnoteReference w:id="1"/>
      </w:r>
    </w:p>
    <w:p w14:paraId="260CE8CB" w14:textId="77777777" w:rsidR="00F87CD2" w:rsidRPr="00F87CD2" w:rsidRDefault="00F87CD2" w:rsidP="00F87CD2">
      <w:pPr>
        <w:ind w:right="-193"/>
        <w:jc w:val="both"/>
        <w:rPr>
          <w:rFonts w:ascii="Arial" w:hAnsi="Arial" w:cs="Arial"/>
          <w:b/>
          <w:bCs/>
          <w:iCs/>
          <w:noProof/>
          <w:szCs w:val="22"/>
          <w:lang w:val="es-ES_tradnl"/>
        </w:rPr>
      </w:pPr>
    </w:p>
    <w:p w14:paraId="584B8677" w14:textId="77777777" w:rsidR="00F87CD2" w:rsidRPr="00F87CD2" w:rsidRDefault="00F87CD2" w:rsidP="00F87CD2">
      <w:pPr>
        <w:spacing w:line="276" w:lineRule="auto"/>
        <w:ind w:right="-193"/>
        <w:jc w:val="both"/>
        <w:rPr>
          <w:rFonts w:ascii="Arial" w:hAnsi="Arial" w:cs="Arial"/>
          <w:b/>
          <w:bCs/>
          <w:szCs w:val="22"/>
          <w:lang w:val="es-CR"/>
        </w:rPr>
      </w:pPr>
      <w:r w:rsidRPr="00F87CD2">
        <w:rPr>
          <w:rFonts w:ascii="Arial" w:hAnsi="Arial" w:cs="Arial"/>
          <w:b/>
          <w:bCs/>
          <w:szCs w:val="22"/>
          <w:lang w:val="es-CR"/>
        </w:rPr>
        <w:t>Considerando que:</w:t>
      </w:r>
    </w:p>
    <w:p w14:paraId="64727173" w14:textId="77777777" w:rsidR="00F87CD2" w:rsidRPr="00F87CD2" w:rsidRDefault="00F87CD2" w:rsidP="00F87CD2">
      <w:pPr>
        <w:spacing w:line="276" w:lineRule="auto"/>
        <w:ind w:right="-193"/>
        <w:jc w:val="both"/>
        <w:rPr>
          <w:rFonts w:ascii="Arial" w:hAnsi="Arial" w:cs="Arial"/>
          <w:b/>
          <w:bCs/>
          <w:szCs w:val="22"/>
          <w:lang w:val="es-CR"/>
        </w:rPr>
      </w:pPr>
    </w:p>
    <w:p w14:paraId="15772A0A" w14:textId="77777777" w:rsidR="00F87CD2" w:rsidRPr="00F87CD2" w:rsidRDefault="00F87CD2" w:rsidP="00F87CD2">
      <w:pPr>
        <w:numPr>
          <w:ilvl w:val="0"/>
          <w:numId w:val="16"/>
        </w:numPr>
        <w:tabs>
          <w:tab w:val="left" w:pos="567"/>
        </w:tabs>
        <w:ind w:left="567" w:right="-193" w:hanging="567"/>
        <w:jc w:val="both"/>
        <w:rPr>
          <w:rFonts w:ascii="Arial" w:hAnsi="Arial" w:cs="Arial"/>
          <w:szCs w:val="22"/>
        </w:rPr>
      </w:pPr>
      <w:r w:rsidRPr="00F87CD2">
        <w:rPr>
          <w:rFonts w:ascii="Arial" w:hAnsi="Arial" w:cs="Arial"/>
          <w:szCs w:val="22"/>
        </w:rPr>
        <w:t xml:space="preserve">El Artículo 8 inciso l) de la Ley Reguladora del Mercado de Valores, Ley 7732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 </w:t>
      </w:r>
    </w:p>
    <w:p w14:paraId="17946C45" w14:textId="77777777" w:rsidR="00F87CD2" w:rsidRPr="00F87CD2" w:rsidRDefault="00F87CD2" w:rsidP="00F87CD2">
      <w:pPr>
        <w:tabs>
          <w:tab w:val="left" w:pos="567"/>
        </w:tabs>
        <w:ind w:left="567" w:right="-193"/>
        <w:jc w:val="both"/>
        <w:rPr>
          <w:rFonts w:ascii="Arial" w:hAnsi="Arial" w:cs="Arial"/>
          <w:szCs w:val="22"/>
        </w:rPr>
      </w:pPr>
    </w:p>
    <w:p w14:paraId="340A541B" w14:textId="77777777" w:rsidR="00F87CD2" w:rsidRPr="00F87CD2" w:rsidRDefault="00F87CD2" w:rsidP="00F87CD2">
      <w:pPr>
        <w:numPr>
          <w:ilvl w:val="0"/>
          <w:numId w:val="16"/>
        </w:numPr>
        <w:tabs>
          <w:tab w:val="left" w:pos="567"/>
        </w:tabs>
        <w:ind w:left="567" w:right="-193" w:hanging="567"/>
        <w:jc w:val="both"/>
        <w:rPr>
          <w:rFonts w:ascii="Arial" w:hAnsi="Arial" w:cs="Arial"/>
          <w:szCs w:val="22"/>
        </w:rPr>
      </w:pPr>
      <w:r w:rsidRPr="00F87CD2">
        <w:rPr>
          <w:rFonts w:ascii="Arial" w:hAnsi="Arial" w:cs="Arial"/>
          <w:szCs w:val="22"/>
        </w:rPr>
        <w:t>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p w14:paraId="0B495CC3" w14:textId="77777777" w:rsidR="00F87CD2" w:rsidRPr="00F87CD2" w:rsidRDefault="00F87CD2" w:rsidP="00F87CD2">
      <w:pPr>
        <w:tabs>
          <w:tab w:val="left" w:pos="567"/>
        </w:tabs>
        <w:ind w:left="567" w:right="-193"/>
        <w:jc w:val="both"/>
        <w:rPr>
          <w:rFonts w:ascii="Arial" w:hAnsi="Arial" w:cs="Arial"/>
          <w:szCs w:val="22"/>
        </w:rPr>
      </w:pPr>
    </w:p>
    <w:p w14:paraId="18786D39" w14:textId="77777777" w:rsidR="00F87CD2" w:rsidRPr="00F87CD2" w:rsidRDefault="00F87CD2" w:rsidP="00F87CD2">
      <w:pPr>
        <w:numPr>
          <w:ilvl w:val="0"/>
          <w:numId w:val="16"/>
        </w:numPr>
        <w:tabs>
          <w:tab w:val="left" w:pos="567"/>
        </w:tabs>
        <w:ind w:left="567" w:right="-193" w:hanging="567"/>
        <w:jc w:val="both"/>
        <w:rPr>
          <w:rFonts w:ascii="Arial" w:hAnsi="Arial" w:cs="Arial"/>
          <w:szCs w:val="22"/>
        </w:rPr>
      </w:pPr>
      <w:r w:rsidRPr="00F87CD2">
        <w:rPr>
          <w:rFonts w:ascii="Arial" w:hAnsi="Arial" w:cs="Arial"/>
          <w:szCs w:val="22"/>
        </w:rPr>
        <w:t>Este Reglamento confiere al Superintendente la potestad para definir el contenido, la periodicidad y los medios de suministro de la información periódica, así como cualquier ajuste o mejora que facilite la información que debe remitirse a la Superintendencia General de Valores, por lo que emitió el SGV-A-75, Acuerdo sobre el Suministro de Información Periódica con fecha 24 de abril del 2003, y se ha retomado durante los últimos años para actualizar los deberes de información de las entidades.</w:t>
      </w:r>
    </w:p>
    <w:p w14:paraId="5F02E904" w14:textId="77777777" w:rsidR="00F87CD2" w:rsidRPr="00F87CD2" w:rsidRDefault="00F87CD2" w:rsidP="00F87CD2">
      <w:pPr>
        <w:tabs>
          <w:tab w:val="left" w:pos="567"/>
        </w:tabs>
        <w:ind w:left="567" w:right="-193"/>
        <w:jc w:val="both"/>
        <w:rPr>
          <w:rFonts w:ascii="Arial" w:hAnsi="Arial" w:cs="Arial"/>
          <w:szCs w:val="22"/>
        </w:rPr>
      </w:pPr>
    </w:p>
    <w:p w14:paraId="0DB218F8" w14:textId="77777777" w:rsidR="00F87CD2" w:rsidRPr="00F87CD2" w:rsidRDefault="00F87CD2" w:rsidP="00F87CD2">
      <w:pPr>
        <w:numPr>
          <w:ilvl w:val="0"/>
          <w:numId w:val="16"/>
        </w:numPr>
        <w:tabs>
          <w:tab w:val="left" w:pos="567"/>
        </w:tabs>
        <w:ind w:left="567" w:right="-193" w:hanging="567"/>
        <w:jc w:val="both"/>
        <w:rPr>
          <w:rFonts w:ascii="Arial" w:hAnsi="Arial" w:cs="Arial"/>
          <w:szCs w:val="22"/>
        </w:rPr>
      </w:pPr>
      <w:r w:rsidRPr="00F87CD2">
        <w:rPr>
          <w:rFonts w:ascii="Arial" w:hAnsi="Arial" w:cs="Arial"/>
          <w:szCs w:val="22"/>
        </w:rPr>
        <w:t xml:space="preserve">Como parte de los proyectos para una mayor eficiencia en los trámites y entrega de información que todos los regulados realizan ante la SUGEVAL, la información sobre los fondos inmobiliarios relacionada con valoraciones, compras de inmuebles, unificaciones o cambios, detalle de inmuebles o inquilinos deberá ser ingresada mediante sistema </w:t>
      </w:r>
      <w:proofErr w:type="spellStart"/>
      <w:r w:rsidRPr="00F87CD2">
        <w:rPr>
          <w:rFonts w:ascii="Arial" w:hAnsi="Arial" w:cs="Arial"/>
          <w:szCs w:val="22"/>
        </w:rPr>
        <w:t>ingresador</w:t>
      </w:r>
      <w:proofErr w:type="spellEnd"/>
      <w:r w:rsidRPr="00F87CD2">
        <w:rPr>
          <w:rFonts w:ascii="Arial" w:hAnsi="Arial" w:cs="Arial"/>
          <w:szCs w:val="22"/>
        </w:rPr>
        <w:t xml:space="preserve"> por las sociedades administradoras de fondos inmobiliarios. De esta manera, se pone a disposición de los supervisados el sistema denominado Autogestión de Información Inmobiliaria (AIM), que facilita a las entidades autogestionar la información inmobiliaria de la cual son responsables, mejora la oportunidad de la información divulgada al mercado, reduce los costos </w:t>
      </w:r>
      <w:proofErr w:type="gramStart"/>
      <w:r w:rsidRPr="00F87CD2">
        <w:rPr>
          <w:rFonts w:ascii="Arial" w:hAnsi="Arial" w:cs="Arial"/>
          <w:szCs w:val="22"/>
        </w:rPr>
        <w:t>y  permite</w:t>
      </w:r>
      <w:proofErr w:type="gramEnd"/>
      <w:r w:rsidRPr="00F87CD2">
        <w:rPr>
          <w:rFonts w:ascii="Arial" w:hAnsi="Arial" w:cs="Arial"/>
          <w:szCs w:val="22"/>
        </w:rPr>
        <w:t xml:space="preserve"> fortalecer el proceso de supervisión y atención de los objetivos de la Superintendencia.</w:t>
      </w:r>
    </w:p>
    <w:p w14:paraId="0474A5C2" w14:textId="77777777" w:rsidR="00F87CD2" w:rsidRPr="00F87CD2" w:rsidRDefault="00F87CD2" w:rsidP="00F87CD2">
      <w:pPr>
        <w:tabs>
          <w:tab w:val="left" w:pos="567"/>
        </w:tabs>
        <w:ind w:left="567" w:right="-193"/>
        <w:jc w:val="both"/>
        <w:rPr>
          <w:rFonts w:ascii="Arial" w:hAnsi="Arial" w:cs="Arial"/>
          <w:szCs w:val="22"/>
        </w:rPr>
      </w:pPr>
    </w:p>
    <w:p w14:paraId="0A07B7C8" w14:textId="77777777" w:rsidR="00F87CD2" w:rsidRPr="00F87CD2" w:rsidRDefault="00F87CD2" w:rsidP="00F87CD2">
      <w:pPr>
        <w:numPr>
          <w:ilvl w:val="0"/>
          <w:numId w:val="16"/>
        </w:numPr>
        <w:tabs>
          <w:tab w:val="left" w:pos="567"/>
        </w:tabs>
        <w:ind w:left="567" w:right="-193" w:hanging="567"/>
        <w:jc w:val="both"/>
        <w:rPr>
          <w:rFonts w:ascii="Arial" w:hAnsi="Arial" w:cs="Arial"/>
          <w:szCs w:val="22"/>
        </w:rPr>
      </w:pPr>
      <w:r w:rsidRPr="00F87CD2">
        <w:rPr>
          <w:rFonts w:ascii="Arial" w:hAnsi="Arial" w:cs="Arial"/>
          <w:szCs w:val="22"/>
        </w:rPr>
        <w:t>Los Puestos de Bolsa ofrecen diferentes servicios al público inversionista, según lo establecido en el Reglamento de Intermediación y Actividades Complementarias, sobre los cuales remiten información en forma agregada de los servicios que prestan mediante lo establecido en el Anexo 62; de la revisión de este anexo se identifica la necesidad de realizar una modificación integral con el propósito de generar un mejor conocimiento del modelo de operación y servicios que ofrecen los Puestos de Bolsa.</w:t>
      </w:r>
    </w:p>
    <w:p w14:paraId="65221EE3" w14:textId="77777777" w:rsidR="00F87CD2" w:rsidRPr="00F87CD2" w:rsidRDefault="00F87CD2" w:rsidP="00F87CD2">
      <w:pPr>
        <w:tabs>
          <w:tab w:val="left" w:pos="567"/>
        </w:tabs>
        <w:ind w:left="567" w:right="-193"/>
        <w:jc w:val="both"/>
        <w:rPr>
          <w:rFonts w:ascii="Arial" w:hAnsi="Arial" w:cs="Arial"/>
          <w:szCs w:val="22"/>
        </w:rPr>
      </w:pPr>
    </w:p>
    <w:p w14:paraId="6907E33F" w14:textId="77777777" w:rsidR="00F87CD2" w:rsidRPr="00F87CD2" w:rsidRDefault="00F87CD2" w:rsidP="00F87CD2">
      <w:pPr>
        <w:numPr>
          <w:ilvl w:val="0"/>
          <w:numId w:val="16"/>
        </w:numPr>
        <w:tabs>
          <w:tab w:val="left" w:pos="567"/>
        </w:tabs>
        <w:ind w:left="567" w:right="-193" w:hanging="567"/>
        <w:jc w:val="both"/>
        <w:rPr>
          <w:rFonts w:ascii="Arial" w:hAnsi="Arial" w:cs="Arial"/>
          <w:szCs w:val="22"/>
        </w:rPr>
      </w:pPr>
      <w:r w:rsidRPr="00F87CD2">
        <w:rPr>
          <w:rFonts w:ascii="Arial" w:hAnsi="Arial" w:cs="Arial"/>
          <w:szCs w:val="22"/>
        </w:rPr>
        <w:t xml:space="preserve">Como parte de las iniciativas para automatizar los procesos de supervisión que lleva a cabo la Superintendencia General de Valores, se identificó la necesidad de capturar mediante un catálogo específico del Sistema </w:t>
      </w:r>
      <w:proofErr w:type="spellStart"/>
      <w:r w:rsidRPr="00F87CD2">
        <w:rPr>
          <w:rFonts w:ascii="Arial" w:hAnsi="Arial" w:cs="Arial"/>
          <w:szCs w:val="22"/>
        </w:rPr>
        <w:t>Ingresador</w:t>
      </w:r>
      <w:proofErr w:type="spellEnd"/>
      <w:r w:rsidRPr="00F87CD2">
        <w:rPr>
          <w:rFonts w:ascii="Arial" w:hAnsi="Arial" w:cs="Arial"/>
          <w:szCs w:val="22"/>
        </w:rPr>
        <w:t xml:space="preserve"> de Información Periódica, lo </w:t>
      </w:r>
      <w:r w:rsidRPr="00F87CD2">
        <w:rPr>
          <w:rFonts w:ascii="Arial" w:hAnsi="Arial" w:cs="Arial"/>
          <w:szCs w:val="22"/>
        </w:rPr>
        <w:lastRenderedPageBreak/>
        <w:t>relativo al cálculo de la suficiencia patrimonial de las bolsas de valores y las centrales de anotación en cuenta, de conformidad con lo establecido en el artículo 16 inciso e) del Reglamento de Gestión de Riesgos.</w:t>
      </w:r>
    </w:p>
    <w:p w14:paraId="6EA5E098" w14:textId="77777777" w:rsidR="00F87CD2" w:rsidRPr="00F87CD2" w:rsidRDefault="00F87CD2" w:rsidP="00F87CD2">
      <w:pPr>
        <w:pStyle w:val="Prrafodelista"/>
        <w:rPr>
          <w:rFonts w:ascii="Arial" w:hAnsi="Arial" w:cs="Arial"/>
          <w:szCs w:val="22"/>
          <w:highlight w:val="green"/>
        </w:rPr>
      </w:pPr>
    </w:p>
    <w:p w14:paraId="6CA618F5" w14:textId="77777777" w:rsidR="00F87CD2" w:rsidRPr="00F87CD2" w:rsidRDefault="00F87CD2" w:rsidP="00F87CD2">
      <w:pPr>
        <w:numPr>
          <w:ilvl w:val="0"/>
          <w:numId w:val="16"/>
        </w:numPr>
        <w:tabs>
          <w:tab w:val="left" w:pos="567"/>
        </w:tabs>
        <w:ind w:left="567" w:right="-193" w:hanging="567"/>
        <w:jc w:val="both"/>
        <w:rPr>
          <w:rFonts w:ascii="Arial" w:hAnsi="Arial" w:cs="Arial"/>
          <w:szCs w:val="22"/>
        </w:rPr>
      </w:pPr>
      <w:bookmarkStart w:id="0" w:name="_Hlk102485215"/>
      <w:r w:rsidRPr="00F87CD2">
        <w:rPr>
          <w:rFonts w:ascii="Arial" w:hAnsi="Arial" w:cs="Arial"/>
          <w:szCs w:val="22"/>
        </w:rPr>
        <w:t>Como parte de las iniciativas para automatizar los procesos de supervisión que lleva a cabo la Superintendencia General de Valores, se ha integrado la información disponible del servicio de subasta de valores (SVA) y Ventanilla de Valores (VVA), por lo que se le exime a los emisores que utilicen la plataforma SINPE, de realizar el envío de información sobre las colocaciones cuando se trate de deuda estandarizada, por lo que se modifica el envío de información del Anexo 3.a.2 Instructivo para el “Reporte de movimientos de deuda estandarizada”</w:t>
      </w:r>
    </w:p>
    <w:bookmarkEnd w:id="0"/>
    <w:p w14:paraId="3B186504" w14:textId="77777777" w:rsidR="00F87CD2" w:rsidRPr="00F87CD2" w:rsidRDefault="00F87CD2" w:rsidP="00F87CD2">
      <w:pPr>
        <w:tabs>
          <w:tab w:val="left" w:pos="567"/>
        </w:tabs>
        <w:ind w:left="567" w:right="-193"/>
        <w:jc w:val="both"/>
        <w:rPr>
          <w:rFonts w:ascii="Arial" w:hAnsi="Arial" w:cs="Arial"/>
          <w:szCs w:val="22"/>
        </w:rPr>
      </w:pPr>
    </w:p>
    <w:p w14:paraId="31E82797" w14:textId="77777777" w:rsidR="00F87CD2" w:rsidRPr="00F87CD2" w:rsidRDefault="00F87CD2" w:rsidP="00F87CD2">
      <w:pPr>
        <w:numPr>
          <w:ilvl w:val="0"/>
          <w:numId w:val="16"/>
        </w:numPr>
        <w:tabs>
          <w:tab w:val="left" w:pos="567"/>
        </w:tabs>
        <w:ind w:left="567" w:right="-193" w:hanging="567"/>
        <w:jc w:val="both"/>
        <w:rPr>
          <w:rFonts w:ascii="Arial" w:hAnsi="Arial" w:cs="Arial"/>
          <w:szCs w:val="22"/>
        </w:rPr>
      </w:pPr>
      <w:r w:rsidRPr="00F87CD2">
        <w:rPr>
          <w:rFonts w:ascii="Arial" w:hAnsi="Arial" w:cs="Arial"/>
          <w:szCs w:val="22"/>
        </w:rPr>
        <w:t xml:space="preserve">En el cuadro de información periódica se requiere incorporar requerimientos de información al garante en el caso de los emisores, ajustar los plazos de entrega de la suficiencia patrimonial para sociedades fiduciarias, </w:t>
      </w:r>
      <w:proofErr w:type="spellStart"/>
      <w:r w:rsidRPr="00F87CD2">
        <w:rPr>
          <w:rFonts w:ascii="Arial" w:hAnsi="Arial" w:cs="Arial"/>
          <w:szCs w:val="22"/>
        </w:rPr>
        <w:t>titularizadoras</w:t>
      </w:r>
      <w:proofErr w:type="spellEnd"/>
      <w:r w:rsidRPr="00F87CD2">
        <w:rPr>
          <w:rFonts w:ascii="Arial" w:hAnsi="Arial" w:cs="Arial"/>
          <w:szCs w:val="22"/>
        </w:rPr>
        <w:t xml:space="preserve"> y universalidades con el propósito de actualizar la recepción de información, para favorecer la oportunidad y alinear los requerimientos de presentación de información de los supervisados.</w:t>
      </w:r>
    </w:p>
    <w:p w14:paraId="32439D3B" w14:textId="77777777" w:rsidR="00F87CD2" w:rsidRPr="00F87CD2" w:rsidRDefault="00F87CD2" w:rsidP="00F87CD2">
      <w:pPr>
        <w:tabs>
          <w:tab w:val="left" w:pos="567"/>
        </w:tabs>
        <w:ind w:left="567" w:right="-193"/>
        <w:jc w:val="both"/>
        <w:rPr>
          <w:rFonts w:ascii="Arial" w:eastAsiaTheme="minorHAnsi" w:hAnsi="Arial" w:cs="Arial"/>
          <w:szCs w:val="22"/>
          <w:lang w:eastAsia="en-US"/>
        </w:rPr>
      </w:pPr>
    </w:p>
    <w:p w14:paraId="66F39DF3" w14:textId="77777777" w:rsidR="00F87CD2" w:rsidRPr="00F87CD2" w:rsidRDefault="00F87CD2" w:rsidP="00F87CD2">
      <w:pPr>
        <w:numPr>
          <w:ilvl w:val="0"/>
          <w:numId w:val="16"/>
        </w:numPr>
        <w:tabs>
          <w:tab w:val="left" w:pos="567"/>
        </w:tabs>
        <w:ind w:left="567" w:right="-193" w:hanging="567"/>
        <w:jc w:val="both"/>
        <w:rPr>
          <w:rFonts w:ascii="Arial" w:eastAsia="Calibri" w:hAnsi="Arial" w:cs="Arial"/>
          <w:szCs w:val="22"/>
        </w:rPr>
      </w:pPr>
      <w:r w:rsidRPr="00F87CD2">
        <w:rPr>
          <w:rFonts w:ascii="Arial" w:hAnsi="Arial" w:cs="Arial"/>
          <w:szCs w:val="22"/>
        </w:rPr>
        <w:t>Como resultado del proceso de revisión continua de los acuerdos emitidos por el Superintendente, se han identificado mejoras menores a acuerdos vigentes que son necesarias para mantener la coherencia y actualización de las disposiciones que deben acatar las entidades supervisadas, por lo que se hace necesario proponer la actualización de disposiciones específicas en los acuerdos SGV-A-170 Disposiciones Operativas de las Sociedades Administradoras de Fondos de Inversión, SGV-A-188 Directriz para la Implementación del Sistema de Mensajería de Documentos Electrónicos (MENDOCEL), y SGV-A-257. Información Básica de las Entidades Reguladas y Supervisadas por la Superintendencia General de Valores</w:t>
      </w:r>
      <w:r w:rsidRPr="00F87CD2">
        <w:rPr>
          <w:rFonts w:ascii="Arial" w:eastAsia="Calibri" w:hAnsi="Arial" w:cs="Arial"/>
          <w:szCs w:val="22"/>
        </w:rPr>
        <w:t>.</w:t>
      </w:r>
    </w:p>
    <w:p w14:paraId="2AFF51FD" w14:textId="77777777" w:rsidR="00F87CD2" w:rsidRPr="00F87CD2" w:rsidRDefault="00F87CD2" w:rsidP="00F87CD2">
      <w:pPr>
        <w:tabs>
          <w:tab w:val="left" w:pos="567"/>
        </w:tabs>
        <w:ind w:left="567" w:right="-193"/>
        <w:jc w:val="both"/>
        <w:rPr>
          <w:rFonts w:ascii="Arial" w:eastAsiaTheme="minorHAnsi" w:hAnsi="Arial" w:cs="Arial"/>
          <w:szCs w:val="22"/>
        </w:rPr>
      </w:pPr>
    </w:p>
    <w:p w14:paraId="1FF9212B" w14:textId="77777777" w:rsidR="00F87CD2" w:rsidRPr="00F87CD2" w:rsidRDefault="00F87CD2" w:rsidP="00F87CD2">
      <w:pPr>
        <w:numPr>
          <w:ilvl w:val="0"/>
          <w:numId w:val="16"/>
        </w:numPr>
        <w:tabs>
          <w:tab w:val="left" w:pos="567"/>
        </w:tabs>
        <w:ind w:left="567" w:right="-193" w:hanging="567"/>
        <w:jc w:val="both"/>
        <w:rPr>
          <w:rFonts w:ascii="Arial" w:hAnsi="Arial" w:cs="Arial"/>
          <w:szCs w:val="22"/>
        </w:rPr>
      </w:pPr>
      <w:r w:rsidRPr="00F87CD2">
        <w:rPr>
          <w:rFonts w:ascii="Arial" w:hAnsi="Arial" w:cs="Arial"/>
          <w:szCs w:val="22"/>
        </w:rPr>
        <w:t>La presente reforma a los Acuerdos fue sometida a consulta de conformidad con el Artículo 361 de la Ley General de Administración Pública. Al término de la consulta se hizo un análisis de los comentarios y las observaciones recibidas y se modificó el texto en lo que se consideró pertinente.</w:t>
      </w:r>
    </w:p>
    <w:p w14:paraId="337A2253" w14:textId="77777777" w:rsidR="00F87CD2" w:rsidRPr="00F87CD2" w:rsidRDefault="00F87CD2" w:rsidP="00F87CD2">
      <w:pPr>
        <w:tabs>
          <w:tab w:val="left" w:pos="567"/>
        </w:tabs>
        <w:ind w:right="-193"/>
        <w:jc w:val="both"/>
        <w:rPr>
          <w:rFonts w:ascii="Arial" w:eastAsia="Calibri" w:hAnsi="Arial" w:cs="Arial"/>
          <w:color w:val="000000"/>
          <w:szCs w:val="22"/>
          <w:lang w:eastAsia="es-CR"/>
        </w:rPr>
      </w:pPr>
    </w:p>
    <w:p w14:paraId="6F838A5D" w14:textId="77777777" w:rsidR="00F87CD2" w:rsidRPr="00F87CD2" w:rsidRDefault="00F87CD2" w:rsidP="00F87CD2">
      <w:pPr>
        <w:tabs>
          <w:tab w:val="left" w:pos="567"/>
        </w:tabs>
        <w:ind w:right="-193"/>
        <w:jc w:val="both"/>
        <w:rPr>
          <w:rFonts w:ascii="Arial" w:eastAsia="Calibri" w:hAnsi="Arial" w:cs="Arial"/>
          <w:color w:val="000000"/>
          <w:szCs w:val="22"/>
          <w:lang w:eastAsia="es-CR"/>
        </w:rPr>
      </w:pPr>
    </w:p>
    <w:p w14:paraId="2460052D" w14:textId="052E4FBB" w:rsidR="00F87CD2" w:rsidRDefault="00F87CD2" w:rsidP="00F87CD2">
      <w:pPr>
        <w:jc w:val="both"/>
        <w:rPr>
          <w:rFonts w:ascii="Arial" w:eastAsia="Calibri" w:hAnsi="Arial" w:cs="Arial"/>
          <w:szCs w:val="22"/>
        </w:rPr>
      </w:pPr>
      <w:r w:rsidRPr="00F87CD2">
        <w:rPr>
          <w:rFonts w:ascii="Arial" w:eastAsia="Calibri" w:hAnsi="Arial" w:cs="Arial"/>
          <w:szCs w:val="22"/>
        </w:rPr>
        <w:t>Por tanto, dispone el presente acuerdo:</w:t>
      </w:r>
    </w:p>
    <w:p w14:paraId="5CB55CAC" w14:textId="77777777" w:rsidR="001B1484" w:rsidRPr="00F87CD2" w:rsidRDefault="001B1484" w:rsidP="00F87CD2">
      <w:pPr>
        <w:jc w:val="both"/>
        <w:rPr>
          <w:rFonts w:ascii="Arial" w:eastAsia="Calibri" w:hAnsi="Arial" w:cs="Arial"/>
          <w:szCs w:val="22"/>
          <w:lang w:eastAsia="en-US"/>
        </w:rPr>
      </w:pPr>
    </w:p>
    <w:p w14:paraId="12B35EB3" w14:textId="77777777" w:rsidR="00F87CD2" w:rsidRPr="00F87CD2" w:rsidRDefault="00F87CD2" w:rsidP="00F87CD2">
      <w:pPr>
        <w:jc w:val="center"/>
        <w:rPr>
          <w:rFonts w:ascii="Arial" w:hAnsi="Arial" w:cs="Arial"/>
          <w:b/>
          <w:szCs w:val="22"/>
        </w:rPr>
      </w:pPr>
      <w:r w:rsidRPr="00F87CD2">
        <w:rPr>
          <w:rFonts w:ascii="Arial" w:hAnsi="Arial" w:cs="Arial"/>
          <w:b/>
          <w:szCs w:val="22"/>
        </w:rPr>
        <w:t>SGV-A-269.  MODIFICACIÓN A LOS ACUERDOS SGV-A-75 “SUMINISTRO DE INFORMACIÓN PERIÓDICA” y los acuerdos SGV-A-170, SGV-A-188 y SGV-A-257</w:t>
      </w:r>
    </w:p>
    <w:p w14:paraId="0644BA38" w14:textId="77777777" w:rsidR="00F87CD2" w:rsidRPr="00F87CD2" w:rsidRDefault="00F87CD2" w:rsidP="00F87CD2">
      <w:pPr>
        <w:jc w:val="center"/>
        <w:rPr>
          <w:rFonts w:ascii="Arial" w:hAnsi="Arial" w:cs="Arial"/>
          <w:b/>
          <w:szCs w:val="22"/>
        </w:rPr>
      </w:pPr>
      <w:r w:rsidRPr="00F87CD2">
        <w:rPr>
          <w:rFonts w:ascii="Arial" w:hAnsi="Arial" w:cs="Arial"/>
          <w:b/>
          <w:szCs w:val="22"/>
        </w:rPr>
        <w:t xml:space="preserve"> </w:t>
      </w:r>
    </w:p>
    <w:p w14:paraId="15A8AADF" w14:textId="77777777" w:rsidR="00F87CD2" w:rsidRPr="00F87CD2" w:rsidRDefault="00F87CD2" w:rsidP="00F87CD2">
      <w:pPr>
        <w:jc w:val="both"/>
        <w:rPr>
          <w:rFonts w:ascii="Arial" w:eastAsia="Calibri" w:hAnsi="Arial" w:cs="Arial"/>
          <w:b/>
          <w:color w:val="000000"/>
          <w:szCs w:val="22"/>
          <w:lang w:eastAsia="es-CR"/>
        </w:rPr>
      </w:pPr>
      <w:r w:rsidRPr="00F87CD2">
        <w:rPr>
          <w:rFonts w:ascii="Arial" w:eastAsia="Calibri" w:hAnsi="Arial" w:cs="Arial"/>
          <w:b/>
          <w:color w:val="000000"/>
          <w:szCs w:val="22"/>
          <w:lang w:eastAsia="es-CR"/>
        </w:rPr>
        <w:t>Artículo 1.-</w:t>
      </w:r>
      <w:r w:rsidRPr="00F87CD2">
        <w:rPr>
          <w:rFonts w:ascii="Arial" w:eastAsia="Calibri" w:hAnsi="Arial" w:cs="Arial"/>
          <w:b/>
          <w:color w:val="000000"/>
          <w:szCs w:val="22"/>
          <w:lang w:eastAsia="es-CR"/>
        </w:rPr>
        <w:tab/>
        <w:t xml:space="preserve">Reformas a la captura de información inmobiliaria </w:t>
      </w:r>
    </w:p>
    <w:p w14:paraId="02AFED28" w14:textId="77777777" w:rsidR="00F87CD2" w:rsidRPr="00F87CD2" w:rsidRDefault="00F87CD2" w:rsidP="00F87CD2">
      <w:pPr>
        <w:pStyle w:val="Prrafodelista"/>
        <w:numPr>
          <w:ilvl w:val="0"/>
          <w:numId w:val="18"/>
        </w:numPr>
        <w:spacing w:after="160" w:line="256" w:lineRule="auto"/>
        <w:ind w:left="709" w:hanging="696"/>
        <w:jc w:val="both"/>
        <w:rPr>
          <w:rFonts w:ascii="Arial" w:eastAsia="Calibri" w:hAnsi="Arial" w:cs="Arial"/>
          <w:color w:val="000000"/>
          <w:szCs w:val="22"/>
          <w:lang w:val="es-CR" w:eastAsia="es-CR"/>
        </w:rPr>
      </w:pPr>
      <w:r w:rsidRPr="00F87CD2">
        <w:rPr>
          <w:rFonts w:ascii="Arial" w:eastAsia="Calibri" w:hAnsi="Arial" w:cs="Arial"/>
          <w:color w:val="000000"/>
          <w:szCs w:val="22"/>
          <w:lang w:val="es-CR" w:eastAsia="es-CR"/>
        </w:rPr>
        <w:t xml:space="preserve">Se incorpora </w:t>
      </w:r>
      <w:bookmarkStart w:id="1" w:name="_Hlk98864021"/>
      <w:r w:rsidRPr="00F87CD2">
        <w:rPr>
          <w:rFonts w:ascii="Arial" w:eastAsia="Calibri" w:hAnsi="Arial" w:cs="Arial"/>
          <w:color w:val="000000"/>
          <w:szCs w:val="22"/>
          <w:lang w:val="es-CR" w:eastAsia="es-CR"/>
        </w:rPr>
        <w:t xml:space="preserve">en el Anexo 22 del acuerdo SGV-A-75 </w:t>
      </w:r>
      <w:r w:rsidRPr="00F87CD2">
        <w:rPr>
          <w:rFonts w:ascii="Arial" w:eastAsia="Calibri" w:hAnsi="Arial" w:cs="Arial"/>
          <w:i/>
          <w:iCs/>
          <w:color w:val="000000"/>
          <w:szCs w:val="22"/>
          <w:lang w:val="es-CR" w:eastAsia="es-CR"/>
        </w:rPr>
        <w:t>Composición de las Carteras de Fondos de Inversión Inmobiliario,</w:t>
      </w:r>
      <w:r w:rsidRPr="00F87CD2">
        <w:rPr>
          <w:rFonts w:ascii="Arial" w:eastAsia="Calibri" w:hAnsi="Arial" w:cs="Arial"/>
          <w:color w:val="000000"/>
          <w:szCs w:val="22"/>
          <w:lang w:val="es-CR" w:eastAsia="es-CR"/>
        </w:rPr>
        <w:t xml:space="preserve"> en el Archivo No.2 Plantilla de Inquilinos y el Archivo No.3 Plantilla de Morosidad</w:t>
      </w:r>
      <w:bookmarkEnd w:id="1"/>
      <w:r w:rsidRPr="00F87CD2">
        <w:rPr>
          <w:rFonts w:ascii="Arial" w:eastAsia="Calibri" w:hAnsi="Arial" w:cs="Arial"/>
          <w:color w:val="000000"/>
          <w:szCs w:val="22"/>
          <w:lang w:val="es-CR" w:eastAsia="es-CR"/>
        </w:rPr>
        <w:t>, que considera los siguientes campos:</w:t>
      </w:r>
    </w:p>
    <w:p w14:paraId="3229B73A" w14:textId="77777777" w:rsidR="00F87CD2" w:rsidRPr="00F87CD2" w:rsidRDefault="00F87CD2" w:rsidP="00F87CD2">
      <w:pPr>
        <w:pStyle w:val="Prrafodelista"/>
        <w:ind w:left="1416"/>
        <w:jc w:val="both"/>
        <w:rPr>
          <w:rFonts w:ascii="Arial" w:eastAsia="Calibri" w:hAnsi="Arial" w:cs="Arial"/>
          <w:color w:val="000000"/>
          <w:szCs w:val="22"/>
          <w:lang w:val="es-CR" w:eastAsia="es-CR"/>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777"/>
        <w:gridCol w:w="4260"/>
        <w:gridCol w:w="1221"/>
        <w:gridCol w:w="889"/>
        <w:gridCol w:w="734"/>
      </w:tblGrid>
      <w:tr w:rsidR="00F87CD2" w:rsidRPr="00F87CD2" w14:paraId="77082EED" w14:textId="77777777" w:rsidTr="00F87CD2">
        <w:trPr>
          <w:trHeight w:val="259"/>
          <w:tblHeader/>
          <w:jc w:val="center"/>
        </w:trPr>
        <w:tc>
          <w:tcPr>
            <w:tcW w:w="735" w:type="dxa"/>
            <w:tcBorders>
              <w:top w:val="single" w:sz="4" w:space="0" w:color="auto"/>
              <w:left w:val="single" w:sz="4" w:space="0" w:color="auto"/>
              <w:bottom w:val="single" w:sz="4" w:space="0" w:color="auto"/>
              <w:right w:val="single" w:sz="4" w:space="0" w:color="auto"/>
            </w:tcBorders>
            <w:shd w:val="clear" w:color="auto" w:fill="D9D9D9"/>
            <w:hideMark/>
          </w:tcPr>
          <w:p w14:paraId="0566FF8C" w14:textId="77777777" w:rsidR="00F87CD2" w:rsidRPr="00F87CD2" w:rsidRDefault="00F87CD2">
            <w:pPr>
              <w:jc w:val="center"/>
              <w:rPr>
                <w:rFonts w:ascii="Arial" w:hAnsi="Arial" w:cs="Arial"/>
                <w:b/>
                <w:bCs/>
                <w:szCs w:val="22"/>
                <w:lang w:val="es-CR" w:eastAsia="en-US"/>
              </w:rPr>
            </w:pPr>
            <w:r w:rsidRPr="00F87CD2">
              <w:rPr>
                <w:rFonts w:ascii="Arial" w:hAnsi="Arial" w:cs="Arial"/>
                <w:b/>
                <w:bCs/>
                <w:szCs w:val="22"/>
                <w:lang w:val="es-CR"/>
              </w:rPr>
              <w:t>No.</w:t>
            </w:r>
          </w:p>
        </w:tc>
        <w:tc>
          <w:tcPr>
            <w:tcW w:w="1778" w:type="dxa"/>
            <w:tcBorders>
              <w:top w:val="single" w:sz="4" w:space="0" w:color="auto"/>
              <w:left w:val="single" w:sz="4" w:space="0" w:color="auto"/>
              <w:bottom w:val="single" w:sz="4" w:space="0" w:color="auto"/>
              <w:right w:val="single" w:sz="4" w:space="0" w:color="auto"/>
            </w:tcBorders>
            <w:shd w:val="clear" w:color="auto" w:fill="D9D9D9"/>
            <w:hideMark/>
          </w:tcPr>
          <w:p w14:paraId="5B664F50" w14:textId="77777777" w:rsidR="00F87CD2" w:rsidRPr="00F87CD2" w:rsidRDefault="00F87CD2">
            <w:pPr>
              <w:jc w:val="both"/>
              <w:rPr>
                <w:rFonts w:ascii="Arial" w:hAnsi="Arial" w:cs="Arial"/>
                <w:b/>
                <w:bCs/>
                <w:szCs w:val="22"/>
                <w:lang w:val="es-CR"/>
              </w:rPr>
            </w:pPr>
            <w:r w:rsidRPr="00F87CD2">
              <w:rPr>
                <w:rFonts w:ascii="Arial" w:hAnsi="Arial" w:cs="Arial"/>
                <w:b/>
                <w:bCs/>
                <w:szCs w:val="22"/>
                <w:lang w:val="es-CR"/>
              </w:rPr>
              <w:t>Nombre</w:t>
            </w:r>
          </w:p>
        </w:tc>
        <w:tc>
          <w:tcPr>
            <w:tcW w:w="4262" w:type="dxa"/>
            <w:tcBorders>
              <w:top w:val="single" w:sz="4" w:space="0" w:color="auto"/>
              <w:left w:val="single" w:sz="4" w:space="0" w:color="auto"/>
              <w:bottom w:val="single" w:sz="4" w:space="0" w:color="auto"/>
              <w:right w:val="single" w:sz="4" w:space="0" w:color="auto"/>
            </w:tcBorders>
            <w:shd w:val="clear" w:color="auto" w:fill="D9D9D9"/>
            <w:hideMark/>
          </w:tcPr>
          <w:p w14:paraId="7EFD8567" w14:textId="77777777" w:rsidR="00F87CD2" w:rsidRPr="00F87CD2" w:rsidRDefault="00F87CD2">
            <w:pPr>
              <w:jc w:val="both"/>
              <w:rPr>
                <w:rFonts w:ascii="Arial" w:hAnsi="Arial" w:cs="Arial"/>
                <w:b/>
                <w:bCs/>
                <w:szCs w:val="22"/>
                <w:lang w:val="es-CR"/>
              </w:rPr>
            </w:pPr>
            <w:r w:rsidRPr="00F87CD2">
              <w:rPr>
                <w:rFonts w:ascii="Arial" w:hAnsi="Arial" w:cs="Arial"/>
                <w:b/>
                <w:bCs/>
                <w:szCs w:val="22"/>
                <w:lang w:val="es-CR"/>
              </w:rPr>
              <w:t xml:space="preserve">Descripción </w:t>
            </w:r>
          </w:p>
        </w:tc>
        <w:tc>
          <w:tcPr>
            <w:tcW w:w="1222" w:type="dxa"/>
            <w:tcBorders>
              <w:top w:val="single" w:sz="4" w:space="0" w:color="auto"/>
              <w:left w:val="single" w:sz="4" w:space="0" w:color="auto"/>
              <w:bottom w:val="single" w:sz="4" w:space="0" w:color="auto"/>
              <w:right w:val="single" w:sz="4" w:space="0" w:color="auto"/>
            </w:tcBorders>
            <w:shd w:val="clear" w:color="auto" w:fill="D9D9D9"/>
            <w:hideMark/>
          </w:tcPr>
          <w:p w14:paraId="5EF3BC59" w14:textId="77777777" w:rsidR="00F87CD2" w:rsidRPr="00F87CD2" w:rsidRDefault="00F87CD2">
            <w:pPr>
              <w:jc w:val="both"/>
              <w:rPr>
                <w:rFonts w:ascii="Arial" w:hAnsi="Arial" w:cs="Arial"/>
                <w:b/>
                <w:bCs/>
                <w:szCs w:val="22"/>
                <w:lang w:val="es-CR"/>
              </w:rPr>
            </w:pPr>
            <w:r w:rsidRPr="00F87CD2">
              <w:rPr>
                <w:rFonts w:ascii="Arial" w:hAnsi="Arial" w:cs="Arial"/>
                <w:b/>
                <w:bCs/>
                <w:szCs w:val="22"/>
                <w:lang w:val="es-CR"/>
              </w:rPr>
              <w:t>Formato</w:t>
            </w:r>
          </w:p>
        </w:tc>
        <w:tc>
          <w:tcPr>
            <w:tcW w:w="889" w:type="dxa"/>
            <w:tcBorders>
              <w:top w:val="single" w:sz="4" w:space="0" w:color="auto"/>
              <w:left w:val="single" w:sz="4" w:space="0" w:color="auto"/>
              <w:bottom w:val="single" w:sz="4" w:space="0" w:color="auto"/>
              <w:right w:val="single" w:sz="4" w:space="0" w:color="auto"/>
            </w:tcBorders>
            <w:shd w:val="clear" w:color="auto" w:fill="D9D9D9"/>
            <w:hideMark/>
          </w:tcPr>
          <w:p w14:paraId="478D8CF4" w14:textId="77777777" w:rsidR="00F87CD2" w:rsidRPr="00F87CD2" w:rsidRDefault="00F87CD2">
            <w:pPr>
              <w:jc w:val="center"/>
              <w:rPr>
                <w:rFonts w:ascii="Arial" w:hAnsi="Arial" w:cs="Arial"/>
                <w:b/>
                <w:bCs/>
                <w:szCs w:val="22"/>
                <w:lang w:val="es-CR"/>
              </w:rPr>
            </w:pPr>
            <w:r w:rsidRPr="00F87CD2">
              <w:rPr>
                <w:rFonts w:ascii="Arial" w:hAnsi="Arial" w:cs="Arial"/>
                <w:b/>
                <w:bCs/>
                <w:szCs w:val="22"/>
                <w:lang w:val="es-CR"/>
              </w:rPr>
              <w:t>Long.</w:t>
            </w:r>
          </w:p>
        </w:tc>
        <w:tc>
          <w:tcPr>
            <w:tcW w:w="734" w:type="dxa"/>
            <w:tcBorders>
              <w:top w:val="single" w:sz="4" w:space="0" w:color="auto"/>
              <w:left w:val="single" w:sz="4" w:space="0" w:color="auto"/>
              <w:bottom w:val="single" w:sz="4" w:space="0" w:color="auto"/>
              <w:right w:val="single" w:sz="4" w:space="0" w:color="auto"/>
            </w:tcBorders>
            <w:shd w:val="clear" w:color="auto" w:fill="D9D9D9"/>
            <w:hideMark/>
          </w:tcPr>
          <w:p w14:paraId="1C6558B1" w14:textId="77777777" w:rsidR="00F87CD2" w:rsidRPr="00F87CD2" w:rsidRDefault="00F87CD2">
            <w:pPr>
              <w:jc w:val="center"/>
              <w:rPr>
                <w:rFonts w:ascii="Arial" w:hAnsi="Arial" w:cs="Arial"/>
                <w:b/>
                <w:bCs/>
                <w:szCs w:val="22"/>
                <w:lang w:val="es-CR"/>
              </w:rPr>
            </w:pPr>
            <w:proofErr w:type="spellStart"/>
            <w:r w:rsidRPr="00F87CD2">
              <w:rPr>
                <w:rFonts w:ascii="Arial" w:hAnsi="Arial" w:cs="Arial"/>
                <w:b/>
                <w:bCs/>
                <w:szCs w:val="22"/>
                <w:lang w:val="es-CR"/>
              </w:rPr>
              <w:t>Dec</w:t>
            </w:r>
            <w:proofErr w:type="spellEnd"/>
            <w:r w:rsidRPr="00F87CD2">
              <w:rPr>
                <w:rFonts w:ascii="Arial" w:hAnsi="Arial" w:cs="Arial"/>
                <w:b/>
                <w:bCs/>
                <w:szCs w:val="22"/>
                <w:lang w:val="es-CR"/>
              </w:rPr>
              <w:t>.</w:t>
            </w:r>
          </w:p>
        </w:tc>
      </w:tr>
      <w:tr w:rsidR="00F87CD2" w:rsidRPr="00F87CD2" w14:paraId="5CD3654E" w14:textId="77777777" w:rsidTr="00F87CD2">
        <w:trPr>
          <w:trHeight w:val="781"/>
          <w:jc w:val="center"/>
        </w:trPr>
        <w:tc>
          <w:tcPr>
            <w:tcW w:w="735" w:type="dxa"/>
            <w:tcBorders>
              <w:top w:val="single" w:sz="4" w:space="0" w:color="auto"/>
              <w:left w:val="single" w:sz="4" w:space="0" w:color="auto"/>
              <w:bottom w:val="single" w:sz="4" w:space="0" w:color="auto"/>
              <w:right w:val="single" w:sz="4" w:space="0" w:color="auto"/>
            </w:tcBorders>
            <w:hideMark/>
          </w:tcPr>
          <w:p w14:paraId="0FFD35E2" w14:textId="77777777" w:rsidR="00F87CD2" w:rsidRPr="00F87CD2" w:rsidRDefault="00F87CD2">
            <w:pPr>
              <w:jc w:val="center"/>
              <w:rPr>
                <w:rFonts w:ascii="Arial" w:hAnsi="Arial" w:cs="Arial"/>
                <w:szCs w:val="22"/>
                <w:lang w:val="es-CR"/>
              </w:rPr>
            </w:pPr>
            <w:r w:rsidRPr="00F87CD2">
              <w:rPr>
                <w:rFonts w:ascii="Arial" w:hAnsi="Arial" w:cs="Arial"/>
                <w:szCs w:val="22"/>
                <w:lang w:val="es-CR"/>
              </w:rPr>
              <w:t>1</w:t>
            </w:r>
          </w:p>
        </w:tc>
        <w:tc>
          <w:tcPr>
            <w:tcW w:w="1778" w:type="dxa"/>
            <w:tcBorders>
              <w:top w:val="single" w:sz="4" w:space="0" w:color="auto"/>
              <w:left w:val="single" w:sz="4" w:space="0" w:color="auto"/>
              <w:bottom w:val="single" w:sz="4" w:space="0" w:color="auto"/>
              <w:right w:val="single" w:sz="4" w:space="0" w:color="auto"/>
            </w:tcBorders>
            <w:hideMark/>
          </w:tcPr>
          <w:p w14:paraId="0008D547" w14:textId="77777777" w:rsidR="00F87CD2" w:rsidRPr="00F87CD2" w:rsidRDefault="00F87CD2">
            <w:pPr>
              <w:jc w:val="both"/>
              <w:rPr>
                <w:rFonts w:ascii="Arial" w:hAnsi="Arial" w:cs="Arial"/>
                <w:szCs w:val="22"/>
                <w:lang w:val="es-CR"/>
              </w:rPr>
            </w:pPr>
            <w:r w:rsidRPr="00F87CD2">
              <w:rPr>
                <w:rFonts w:ascii="Arial" w:hAnsi="Arial" w:cs="Arial"/>
                <w:szCs w:val="22"/>
                <w:lang w:val="es-CR"/>
              </w:rPr>
              <w:t xml:space="preserve">Cédula del inquilino </w:t>
            </w:r>
          </w:p>
        </w:tc>
        <w:tc>
          <w:tcPr>
            <w:tcW w:w="4262" w:type="dxa"/>
            <w:tcBorders>
              <w:top w:val="single" w:sz="4" w:space="0" w:color="auto"/>
              <w:left w:val="single" w:sz="4" w:space="0" w:color="auto"/>
              <w:bottom w:val="single" w:sz="4" w:space="0" w:color="auto"/>
              <w:right w:val="single" w:sz="4" w:space="0" w:color="auto"/>
            </w:tcBorders>
            <w:hideMark/>
          </w:tcPr>
          <w:p w14:paraId="6DEAC4C7" w14:textId="77777777" w:rsidR="00F87CD2" w:rsidRPr="00F87CD2" w:rsidRDefault="00F87CD2">
            <w:pPr>
              <w:jc w:val="both"/>
              <w:rPr>
                <w:rFonts w:ascii="Arial" w:hAnsi="Arial" w:cs="Arial"/>
                <w:szCs w:val="22"/>
                <w:lang w:val="es-CR"/>
              </w:rPr>
            </w:pPr>
            <w:r w:rsidRPr="00F87CD2">
              <w:rPr>
                <w:rFonts w:ascii="Arial" w:hAnsi="Arial" w:cs="Arial"/>
                <w:szCs w:val="22"/>
                <w:lang w:val="es-CR"/>
              </w:rPr>
              <w:t>Debe indicar el número de cédula jurídica, cédula de identidad, cédula de residencia, número de pasaporte u otro.</w:t>
            </w:r>
          </w:p>
        </w:tc>
        <w:tc>
          <w:tcPr>
            <w:tcW w:w="1222" w:type="dxa"/>
            <w:tcBorders>
              <w:top w:val="single" w:sz="4" w:space="0" w:color="auto"/>
              <w:left w:val="single" w:sz="4" w:space="0" w:color="auto"/>
              <w:bottom w:val="single" w:sz="4" w:space="0" w:color="auto"/>
              <w:right w:val="single" w:sz="4" w:space="0" w:color="auto"/>
            </w:tcBorders>
            <w:hideMark/>
          </w:tcPr>
          <w:p w14:paraId="628C0B24" w14:textId="77777777" w:rsidR="00F87CD2" w:rsidRPr="00F87CD2" w:rsidRDefault="00F87CD2">
            <w:pPr>
              <w:jc w:val="both"/>
              <w:rPr>
                <w:rFonts w:ascii="Arial" w:hAnsi="Arial" w:cs="Arial"/>
                <w:szCs w:val="22"/>
                <w:lang w:val="es-CR"/>
              </w:rPr>
            </w:pPr>
            <w:r w:rsidRPr="00F87CD2">
              <w:rPr>
                <w:rFonts w:ascii="Arial" w:hAnsi="Arial" w:cs="Arial"/>
                <w:szCs w:val="22"/>
                <w:lang w:val="es-CR"/>
              </w:rPr>
              <w:t>Numérico</w:t>
            </w:r>
          </w:p>
        </w:tc>
        <w:tc>
          <w:tcPr>
            <w:tcW w:w="889" w:type="dxa"/>
            <w:tcBorders>
              <w:top w:val="single" w:sz="4" w:space="0" w:color="auto"/>
              <w:left w:val="single" w:sz="4" w:space="0" w:color="auto"/>
              <w:bottom w:val="single" w:sz="4" w:space="0" w:color="auto"/>
              <w:right w:val="single" w:sz="4" w:space="0" w:color="auto"/>
            </w:tcBorders>
          </w:tcPr>
          <w:p w14:paraId="31944D81" w14:textId="77777777" w:rsidR="00F87CD2" w:rsidRPr="00F87CD2" w:rsidRDefault="00F87CD2">
            <w:pPr>
              <w:jc w:val="center"/>
              <w:rPr>
                <w:rFonts w:ascii="Arial" w:hAnsi="Arial" w:cs="Arial"/>
                <w:szCs w:val="22"/>
                <w:lang w:val="es-CR"/>
              </w:rPr>
            </w:pPr>
            <w:r w:rsidRPr="00F87CD2">
              <w:rPr>
                <w:rFonts w:ascii="Arial" w:hAnsi="Arial" w:cs="Arial"/>
                <w:szCs w:val="22"/>
                <w:lang w:val="es-CR"/>
              </w:rPr>
              <w:t>10</w:t>
            </w:r>
          </w:p>
          <w:p w14:paraId="216E1725" w14:textId="77777777" w:rsidR="00F87CD2" w:rsidRPr="00F87CD2" w:rsidRDefault="00F87CD2">
            <w:pPr>
              <w:jc w:val="center"/>
              <w:rPr>
                <w:rFonts w:ascii="Arial" w:hAnsi="Arial" w:cs="Arial"/>
                <w:szCs w:val="22"/>
                <w:lang w:val="es-CR"/>
              </w:rPr>
            </w:pPr>
          </w:p>
          <w:p w14:paraId="177AB2A5" w14:textId="77777777" w:rsidR="00F87CD2" w:rsidRPr="00F87CD2" w:rsidRDefault="00F87CD2">
            <w:pPr>
              <w:jc w:val="center"/>
              <w:rPr>
                <w:rFonts w:ascii="Arial" w:hAnsi="Arial" w:cs="Arial"/>
                <w:szCs w:val="22"/>
                <w:lang w:val="es-CR"/>
              </w:rPr>
            </w:pPr>
            <w:r w:rsidRPr="00F87CD2">
              <w:rPr>
                <w:rFonts w:ascii="Arial" w:hAnsi="Arial" w:cs="Arial"/>
                <w:szCs w:val="22"/>
                <w:lang w:val="es-CR"/>
              </w:rPr>
              <w:t>20</w:t>
            </w:r>
          </w:p>
        </w:tc>
        <w:tc>
          <w:tcPr>
            <w:tcW w:w="734" w:type="dxa"/>
            <w:tcBorders>
              <w:top w:val="single" w:sz="4" w:space="0" w:color="auto"/>
              <w:left w:val="single" w:sz="4" w:space="0" w:color="auto"/>
              <w:bottom w:val="single" w:sz="4" w:space="0" w:color="auto"/>
              <w:right w:val="single" w:sz="4" w:space="0" w:color="auto"/>
            </w:tcBorders>
            <w:hideMark/>
          </w:tcPr>
          <w:p w14:paraId="5924335D" w14:textId="77777777" w:rsidR="00F87CD2" w:rsidRPr="00F87CD2" w:rsidRDefault="00F87CD2">
            <w:pPr>
              <w:jc w:val="center"/>
              <w:rPr>
                <w:rFonts w:ascii="Arial" w:hAnsi="Arial" w:cs="Arial"/>
                <w:szCs w:val="22"/>
                <w:lang w:val="es-CR"/>
              </w:rPr>
            </w:pPr>
            <w:r w:rsidRPr="00F87CD2">
              <w:rPr>
                <w:rFonts w:ascii="Arial" w:hAnsi="Arial" w:cs="Arial"/>
                <w:szCs w:val="22"/>
                <w:lang w:val="es-CR"/>
              </w:rPr>
              <w:t>0</w:t>
            </w:r>
          </w:p>
        </w:tc>
      </w:tr>
      <w:tr w:rsidR="00F87CD2" w:rsidRPr="00F87CD2" w14:paraId="0A135921" w14:textId="77777777" w:rsidTr="00F87CD2">
        <w:trPr>
          <w:trHeight w:val="955"/>
          <w:jc w:val="center"/>
        </w:trPr>
        <w:tc>
          <w:tcPr>
            <w:tcW w:w="735" w:type="dxa"/>
            <w:tcBorders>
              <w:top w:val="single" w:sz="4" w:space="0" w:color="auto"/>
              <w:left w:val="single" w:sz="4" w:space="0" w:color="auto"/>
              <w:bottom w:val="single" w:sz="4" w:space="0" w:color="auto"/>
              <w:right w:val="single" w:sz="4" w:space="0" w:color="auto"/>
            </w:tcBorders>
            <w:hideMark/>
          </w:tcPr>
          <w:p w14:paraId="34E2381B" w14:textId="77777777" w:rsidR="00F87CD2" w:rsidRPr="00F87CD2" w:rsidRDefault="00F87CD2">
            <w:pPr>
              <w:jc w:val="center"/>
              <w:rPr>
                <w:rFonts w:ascii="Arial" w:hAnsi="Arial" w:cs="Arial"/>
                <w:szCs w:val="22"/>
                <w:lang w:val="es-CR"/>
              </w:rPr>
            </w:pPr>
            <w:r w:rsidRPr="00F87CD2">
              <w:rPr>
                <w:rFonts w:ascii="Arial" w:hAnsi="Arial" w:cs="Arial"/>
                <w:szCs w:val="22"/>
                <w:lang w:val="es-CR"/>
              </w:rPr>
              <w:lastRenderedPageBreak/>
              <w:t>2</w:t>
            </w:r>
          </w:p>
        </w:tc>
        <w:tc>
          <w:tcPr>
            <w:tcW w:w="1778" w:type="dxa"/>
            <w:tcBorders>
              <w:top w:val="single" w:sz="4" w:space="0" w:color="auto"/>
              <w:left w:val="single" w:sz="4" w:space="0" w:color="auto"/>
              <w:bottom w:val="single" w:sz="4" w:space="0" w:color="auto"/>
              <w:right w:val="single" w:sz="4" w:space="0" w:color="auto"/>
            </w:tcBorders>
            <w:hideMark/>
          </w:tcPr>
          <w:p w14:paraId="658F2452" w14:textId="77777777" w:rsidR="00F87CD2" w:rsidRPr="00F87CD2" w:rsidRDefault="00F87CD2">
            <w:pPr>
              <w:jc w:val="both"/>
              <w:rPr>
                <w:rFonts w:ascii="Arial" w:hAnsi="Arial" w:cs="Arial"/>
                <w:szCs w:val="22"/>
                <w:lang w:val="es-CR"/>
              </w:rPr>
            </w:pPr>
            <w:r w:rsidRPr="00F87CD2">
              <w:rPr>
                <w:rFonts w:ascii="Arial" w:hAnsi="Arial" w:cs="Arial"/>
                <w:szCs w:val="22"/>
                <w:lang w:val="es-CR"/>
              </w:rPr>
              <w:t>Código del Inmueble</w:t>
            </w:r>
          </w:p>
        </w:tc>
        <w:tc>
          <w:tcPr>
            <w:tcW w:w="4262" w:type="dxa"/>
            <w:tcBorders>
              <w:top w:val="single" w:sz="4" w:space="0" w:color="auto"/>
              <w:left w:val="single" w:sz="4" w:space="0" w:color="auto"/>
              <w:bottom w:val="single" w:sz="4" w:space="0" w:color="auto"/>
              <w:right w:val="single" w:sz="4" w:space="0" w:color="auto"/>
            </w:tcBorders>
            <w:hideMark/>
          </w:tcPr>
          <w:p w14:paraId="3F7146B0" w14:textId="77777777" w:rsidR="00F87CD2" w:rsidRPr="00F87CD2" w:rsidRDefault="00F87CD2">
            <w:pPr>
              <w:jc w:val="both"/>
              <w:rPr>
                <w:rFonts w:ascii="Arial" w:hAnsi="Arial" w:cs="Arial"/>
                <w:szCs w:val="22"/>
                <w:lang w:val="es-CR"/>
              </w:rPr>
            </w:pPr>
            <w:r w:rsidRPr="00F87CD2">
              <w:rPr>
                <w:rFonts w:ascii="Arial" w:hAnsi="Arial" w:cs="Arial"/>
                <w:szCs w:val="22"/>
                <w:lang w:val="es-CR"/>
              </w:rPr>
              <w:t xml:space="preserve">Código asignado por la Superintendencia para identificar a los inmuebles que forman parte de los fondos de inversión </w:t>
            </w:r>
          </w:p>
        </w:tc>
        <w:tc>
          <w:tcPr>
            <w:tcW w:w="1222" w:type="dxa"/>
            <w:tcBorders>
              <w:top w:val="single" w:sz="4" w:space="0" w:color="auto"/>
              <w:left w:val="single" w:sz="4" w:space="0" w:color="auto"/>
              <w:bottom w:val="single" w:sz="4" w:space="0" w:color="auto"/>
              <w:right w:val="single" w:sz="4" w:space="0" w:color="auto"/>
            </w:tcBorders>
            <w:hideMark/>
          </w:tcPr>
          <w:p w14:paraId="77B1B32A" w14:textId="77777777" w:rsidR="00F87CD2" w:rsidRPr="00F87CD2" w:rsidRDefault="00F87CD2">
            <w:pPr>
              <w:jc w:val="both"/>
              <w:rPr>
                <w:rFonts w:ascii="Arial" w:hAnsi="Arial" w:cs="Arial"/>
                <w:szCs w:val="22"/>
                <w:lang w:val="es-CR"/>
              </w:rPr>
            </w:pPr>
            <w:r w:rsidRPr="00F87CD2">
              <w:rPr>
                <w:rFonts w:ascii="Arial" w:hAnsi="Arial" w:cs="Arial"/>
                <w:szCs w:val="22"/>
                <w:lang w:val="es-CR"/>
              </w:rPr>
              <w:t>Numérico</w:t>
            </w:r>
          </w:p>
        </w:tc>
        <w:tc>
          <w:tcPr>
            <w:tcW w:w="889" w:type="dxa"/>
            <w:tcBorders>
              <w:top w:val="single" w:sz="4" w:space="0" w:color="auto"/>
              <w:left w:val="single" w:sz="4" w:space="0" w:color="auto"/>
              <w:bottom w:val="single" w:sz="4" w:space="0" w:color="auto"/>
              <w:right w:val="single" w:sz="4" w:space="0" w:color="auto"/>
            </w:tcBorders>
            <w:hideMark/>
          </w:tcPr>
          <w:p w14:paraId="77333B4E" w14:textId="77777777" w:rsidR="00F87CD2" w:rsidRPr="00F87CD2" w:rsidRDefault="00F87CD2">
            <w:pPr>
              <w:jc w:val="center"/>
              <w:rPr>
                <w:rFonts w:ascii="Arial" w:hAnsi="Arial" w:cs="Arial"/>
                <w:szCs w:val="22"/>
                <w:lang w:val="es-CR"/>
              </w:rPr>
            </w:pPr>
            <w:r w:rsidRPr="00F87CD2">
              <w:rPr>
                <w:rFonts w:ascii="Arial" w:hAnsi="Arial" w:cs="Arial"/>
                <w:szCs w:val="22"/>
                <w:lang w:val="es-CR"/>
              </w:rPr>
              <w:t>9</w:t>
            </w:r>
          </w:p>
        </w:tc>
        <w:tc>
          <w:tcPr>
            <w:tcW w:w="734" w:type="dxa"/>
            <w:tcBorders>
              <w:top w:val="single" w:sz="4" w:space="0" w:color="auto"/>
              <w:left w:val="single" w:sz="4" w:space="0" w:color="auto"/>
              <w:bottom w:val="single" w:sz="4" w:space="0" w:color="auto"/>
              <w:right w:val="single" w:sz="4" w:space="0" w:color="auto"/>
            </w:tcBorders>
            <w:hideMark/>
          </w:tcPr>
          <w:p w14:paraId="037712A8" w14:textId="77777777" w:rsidR="00F87CD2" w:rsidRPr="00F87CD2" w:rsidRDefault="00F87CD2">
            <w:pPr>
              <w:jc w:val="center"/>
              <w:rPr>
                <w:rFonts w:ascii="Arial" w:hAnsi="Arial" w:cs="Arial"/>
                <w:szCs w:val="22"/>
                <w:lang w:val="es-CR"/>
              </w:rPr>
            </w:pPr>
            <w:r w:rsidRPr="00F87CD2">
              <w:rPr>
                <w:rFonts w:ascii="Arial" w:hAnsi="Arial" w:cs="Arial"/>
                <w:szCs w:val="22"/>
                <w:lang w:val="es-CR"/>
              </w:rPr>
              <w:t>0</w:t>
            </w:r>
          </w:p>
        </w:tc>
      </w:tr>
      <w:tr w:rsidR="00F87CD2" w:rsidRPr="00F87CD2" w14:paraId="6EEAAD1F" w14:textId="77777777" w:rsidTr="00F87CD2">
        <w:trPr>
          <w:trHeight w:val="2608"/>
          <w:jc w:val="center"/>
        </w:trPr>
        <w:tc>
          <w:tcPr>
            <w:tcW w:w="735" w:type="dxa"/>
            <w:tcBorders>
              <w:top w:val="single" w:sz="4" w:space="0" w:color="auto"/>
              <w:left w:val="single" w:sz="4" w:space="0" w:color="auto"/>
              <w:bottom w:val="single" w:sz="4" w:space="0" w:color="auto"/>
              <w:right w:val="single" w:sz="4" w:space="0" w:color="auto"/>
            </w:tcBorders>
            <w:hideMark/>
          </w:tcPr>
          <w:p w14:paraId="234EECE7" w14:textId="77777777" w:rsidR="00F87CD2" w:rsidRPr="00F87CD2" w:rsidRDefault="00F87CD2">
            <w:pPr>
              <w:jc w:val="center"/>
              <w:rPr>
                <w:rFonts w:ascii="Arial" w:hAnsi="Arial" w:cs="Arial"/>
                <w:szCs w:val="22"/>
                <w:lang w:val="es-CR"/>
              </w:rPr>
            </w:pPr>
            <w:r w:rsidRPr="00F87CD2">
              <w:rPr>
                <w:rFonts w:ascii="Arial" w:hAnsi="Arial" w:cs="Arial"/>
                <w:szCs w:val="22"/>
                <w:lang w:val="es-CR"/>
              </w:rPr>
              <w:t>3</w:t>
            </w:r>
          </w:p>
        </w:tc>
        <w:tc>
          <w:tcPr>
            <w:tcW w:w="1778" w:type="dxa"/>
            <w:tcBorders>
              <w:top w:val="single" w:sz="4" w:space="0" w:color="auto"/>
              <w:left w:val="single" w:sz="4" w:space="0" w:color="auto"/>
              <w:bottom w:val="single" w:sz="4" w:space="0" w:color="auto"/>
              <w:right w:val="single" w:sz="4" w:space="0" w:color="auto"/>
            </w:tcBorders>
            <w:hideMark/>
          </w:tcPr>
          <w:p w14:paraId="25E33050" w14:textId="77777777" w:rsidR="00F87CD2" w:rsidRPr="00F87CD2" w:rsidRDefault="00F87CD2">
            <w:pPr>
              <w:jc w:val="both"/>
              <w:rPr>
                <w:rFonts w:ascii="Arial" w:hAnsi="Arial" w:cs="Arial"/>
                <w:szCs w:val="22"/>
                <w:lang w:val="es-CR"/>
              </w:rPr>
            </w:pPr>
            <w:r w:rsidRPr="00F87CD2">
              <w:rPr>
                <w:rFonts w:ascii="Arial" w:hAnsi="Arial" w:cs="Arial"/>
                <w:szCs w:val="22"/>
                <w:lang w:val="es-CR"/>
              </w:rPr>
              <w:t xml:space="preserve">Saldos de Alquileres por cobrar </w:t>
            </w:r>
          </w:p>
        </w:tc>
        <w:tc>
          <w:tcPr>
            <w:tcW w:w="4262" w:type="dxa"/>
            <w:tcBorders>
              <w:top w:val="single" w:sz="4" w:space="0" w:color="auto"/>
              <w:left w:val="single" w:sz="4" w:space="0" w:color="auto"/>
              <w:bottom w:val="single" w:sz="4" w:space="0" w:color="auto"/>
              <w:right w:val="single" w:sz="4" w:space="0" w:color="auto"/>
            </w:tcBorders>
          </w:tcPr>
          <w:p w14:paraId="17C1311A" w14:textId="77777777" w:rsidR="00F87CD2" w:rsidRPr="00F87CD2" w:rsidRDefault="00F87CD2">
            <w:pPr>
              <w:jc w:val="both"/>
              <w:rPr>
                <w:rFonts w:ascii="Arial" w:hAnsi="Arial" w:cs="Arial"/>
                <w:szCs w:val="22"/>
                <w:lang w:val="es-CR"/>
              </w:rPr>
            </w:pPr>
            <w:r w:rsidRPr="00F87CD2">
              <w:rPr>
                <w:rFonts w:ascii="Arial" w:hAnsi="Arial" w:cs="Arial"/>
                <w:szCs w:val="22"/>
                <w:lang w:val="es-CR"/>
              </w:rPr>
              <w:t>Corresponde al saldo que tiene registrado el inquilino por concepto de alquileres por cobrar al cierre del mes.</w:t>
            </w:r>
          </w:p>
          <w:p w14:paraId="69856339" w14:textId="77777777" w:rsidR="00F87CD2" w:rsidRPr="00F87CD2" w:rsidRDefault="00F87CD2">
            <w:pPr>
              <w:jc w:val="both"/>
              <w:rPr>
                <w:rFonts w:ascii="Arial" w:hAnsi="Arial" w:cs="Arial"/>
                <w:szCs w:val="22"/>
                <w:lang w:val="es-CR"/>
              </w:rPr>
            </w:pPr>
          </w:p>
          <w:p w14:paraId="3D3C6510" w14:textId="77777777" w:rsidR="00F87CD2" w:rsidRPr="00F87CD2" w:rsidRDefault="00F87CD2">
            <w:pPr>
              <w:jc w:val="both"/>
              <w:rPr>
                <w:rFonts w:ascii="Arial" w:hAnsi="Arial" w:cs="Arial"/>
                <w:szCs w:val="22"/>
                <w:lang w:val="es-CR"/>
              </w:rPr>
            </w:pPr>
            <w:r w:rsidRPr="00F87CD2">
              <w:rPr>
                <w:rFonts w:ascii="Arial" w:hAnsi="Arial" w:cs="Arial"/>
                <w:szCs w:val="22"/>
                <w:lang w:val="es-CR"/>
              </w:rPr>
              <w:t xml:space="preserve">Nota: la suma de todos los inquilinos debe ser igual a los Alquileres por cobrar reportados en el Balance General: </w:t>
            </w:r>
          </w:p>
          <w:p w14:paraId="50FDEB1B" w14:textId="77777777" w:rsidR="00F87CD2" w:rsidRPr="00F87CD2" w:rsidRDefault="00F87CD2">
            <w:pPr>
              <w:jc w:val="both"/>
              <w:rPr>
                <w:rFonts w:ascii="Arial" w:hAnsi="Arial" w:cs="Arial"/>
                <w:szCs w:val="22"/>
                <w:lang w:val="es-CR"/>
              </w:rPr>
            </w:pPr>
          </w:p>
          <w:p w14:paraId="383151E9" w14:textId="77777777" w:rsidR="00F87CD2" w:rsidRPr="00F87CD2" w:rsidRDefault="00F87CD2">
            <w:pPr>
              <w:jc w:val="both"/>
              <w:rPr>
                <w:rFonts w:ascii="Arial" w:hAnsi="Arial" w:cs="Arial"/>
                <w:szCs w:val="22"/>
                <w:lang w:val="es-CR"/>
              </w:rPr>
            </w:pPr>
            <w:r w:rsidRPr="00F87CD2">
              <w:rPr>
                <w:rFonts w:ascii="Arial" w:hAnsi="Arial" w:cs="Arial"/>
                <w:szCs w:val="22"/>
                <w:lang w:val="es-CR"/>
              </w:rPr>
              <w:t>701025010000</w:t>
            </w:r>
          </w:p>
          <w:p w14:paraId="57202F16" w14:textId="77777777" w:rsidR="00F87CD2" w:rsidRPr="00F87CD2" w:rsidRDefault="00F87CD2">
            <w:pPr>
              <w:jc w:val="both"/>
              <w:rPr>
                <w:rFonts w:ascii="Arial" w:hAnsi="Arial" w:cs="Arial"/>
                <w:szCs w:val="22"/>
                <w:lang w:val="es-CR"/>
              </w:rPr>
            </w:pPr>
            <w:r w:rsidRPr="00F87CD2">
              <w:rPr>
                <w:rFonts w:ascii="Arial" w:hAnsi="Arial" w:cs="Arial"/>
                <w:szCs w:val="22"/>
                <w:lang w:val="es-CR"/>
              </w:rPr>
              <w:t>701025020000</w:t>
            </w:r>
          </w:p>
        </w:tc>
        <w:tc>
          <w:tcPr>
            <w:tcW w:w="1222" w:type="dxa"/>
            <w:tcBorders>
              <w:top w:val="single" w:sz="4" w:space="0" w:color="auto"/>
              <w:left w:val="single" w:sz="4" w:space="0" w:color="auto"/>
              <w:bottom w:val="single" w:sz="4" w:space="0" w:color="auto"/>
              <w:right w:val="single" w:sz="4" w:space="0" w:color="auto"/>
            </w:tcBorders>
            <w:hideMark/>
          </w:tcPr>
          <w:p w14:paraId="08BB37DC" w14:textId="77777777" w:rsidR="00F87CD2" w:rsidRPr="00F87CD2" w:rsidRDefault="00F87CD2">
            <w:pPr>
              <w:jc w:val="both"/>
              <w:rPr>
                <w:rFonts w:ascii="Arial" w:hAnsi="Arial" w:cs="Arial"/>
                <w:szCs w:val="22"/>
                <w:lang w:val="es-CR"/>
              </w:rPr>
            </w:pPr>
            <w:r w:rsidRPr="00F87CD2">
              <w:rPr>
                <w:rFonts w:ascii="Arial" w:hAnsi="Arial" w:cs="Arial"/>
                <w:szCs w:val="22"/>
                <w:lang w:val="es-CR"/>
              </w:rPr>
              <w:t>Numérico</w:t>
            </w:r>
          </w:p>
        </w:tc>
        <w:tc>
          <w:tcPr>
            <w:tcW w:w="889" w:type="dxa"/>
            <w:tcBorders>
              <w:top w:val="single" w:sz="4" w:space="0" w:color="auto"/>
              <w:left w:val="single" w:sz="4" w:space="0" w:color="auto"/>
              <w:bottom w:val="single" w:sz="4" w:space="0" w:color="auto"/>
              <w:right w:val="single" w:sz="4" w:space="0" w:color="auto"/>
            </w:tcBorders>
            <w:hideMark/>
          </w:tcPr>
          <w:p w14:paraId="115AB6BC" w14:textId="77777777" w:rsidR="00F87CD2" w:rsidRPr="00F87CD2" w:rsidRDefault="00F87CD2">
            <w:pPr>
              <w:jc w:val="center"/>
              <w:rPr>
                <w:rFonts w:ascii="Arial" w:hAnsi="Arial" w:cs="Arial"/>
                <w:szCs w:val="22"/>
                <w:lang w:val="es-CR"/>
              </w:rPr>
            </w:pPr>
            <w:r w:rsidRPr="00F87CD2">
              <w:rPr>
                <w:rFonts w:ascii="Arial" w:hAnsi="Arial" w:cs="Arial"/>
                <w:szCs w:val="22"/>
                <w:lang w:val="es-CR"/>
              </w:rPr>
              <w:t>18</w:t>
            </w:r>
          </w:p>
        </w:tc>
        <w:tc>
          <w:tcPr>
            <w:tcW w:w="734" w:type="dxa"/>
            <w:tcBorders>
              <w:top w:val="single" w:sz="4" w:space="0" w:color="auto"/>
              <w:left w:val="single" w:sz="4" w:space="0" w:color="auto"/>
              <w:bottom w:val="single" w:sz="4" w:space="0" w:color="auto"/>
              <w:right w:val="single" w:sz="4" w:space="0" w:color="auto"/>
            </w:tcBorders>
            <w:hideMark/>
          </w:tcPr>
          <w:p w14:paraId="60210C88" w14:textId="77777777" w:rsidR="00F87CD2" w:rsidRPr="00F87CD2" w:rsidRDefault="00F87CD2">
            <w:pPr>
              <w:jc w:val="center"/>
              <w:rPr>
                <w:rFonts w:ascii="Arial" w:hAnsi="Arial" w:cs="Arial"/>
                <w:szCs w:val="22"/>
                <w:lang w:val="es-CR"/>
              </w:rPr>
            </w:pPr>
            <w:r w:rsidRPr="00F87CD2">
              <w:rPr>
                <w:rFonts w:ascii="Arial" w:hAnsi="Arial" w:cs="Arial"/>
                <w:szCs w:val="22"/>
                <w:lang w:val="es-CR"/>
              </w:rPr>
              <w:t>2</w:t>
            </w:r>
          </w:p>
        </w:tc>
      </w:tr>
      <w:tr w:rsidR="00F87CD2" w:rsidRPr="00F87CD2" w14:paraId="1D27C35B" w14:textId="77777777" w:rsidTr="00F87CD2">
        <w:trPr>
          <w:trHeight w:val="2948"/>
          <w:jc w:val="center"/>
        </w:trPr>
        <w:tc>
          <w:tcPr>
            <w:tcW w:w="735" w:type="dxa"/>
            <w:tcBorders>
              <w:top w:val="single" w:sz="4" w:space="0" w:color="auto"/>
              <w:left w:val="single" w:sz="4" w:space="0" w:color="auto"/>
              <w:bottom w:val="single" w:sz="4" w:space="0" w:color="auto"/>
              <w:right w:val="single" w:sz="4" w:space="0" w:color="auto"/>
            </w:tcBorders>
            <w:hideMark/>
          </w:tcPr>
          <w:p w14:paraId="3C0077CC" w14:textId="77777777" w:rsidR="00F87CD2" w:rsidRPr="00F87CD2" w:rsidRDefault="00F87CD2">
            <w:pPr>
              <w:jc w:val="center"/>
              <w:rPr>
                <w:rFonts w:ascii="Arial" w:hAnsi="Arial" w:cs="Arial"/>
                <w:szCs w:val="22"/>
                <w:lang w:val="es-CR"/>
              </w:rPr>
            </w:pPr>
            <w:r w:rsidRPr="00F87CD2">
              <w:rPr>
                <w:rFonts w:ascii="Arial" w:hAnsi="Arial" w:cs="Arial"/>
                <w:szCs w:val="22"/>
                <w:lang w:val="es-CR"/>
              </w:rPr>
              <w:t>4</w:t>
            </w:r>
          </w:p>
        </w:tc>
        <w:tc>
          <w:tcPr>
            <w:tcW w:w="1778" w:type="dxa"/>
            <w:tcBorders>
              <w:top w:val="single" w:sz="4" w:space="0" w:color="auto"/>
              <w:left w:val="single" w:sz="4" w:space="0" w:color="auto"/>
              <w:bottom w:val="single" w:sz="4" w:space="0" w:color="auto"/>
              <w:right w:val="single" w:sz="4" w:space="0" w:color="auto"/>
            </w:tcBorders>
            <w:hideMark/>
          </w:tcPr>
          <w:p w14:paraId="7900988F" w14:textId="77777777" w:rsidR="00F87CD2" w:rsidRPr="00F87CD2" w:rsidRDefault="00F87CD2">
            <w:pPr>
              <w:jc w:val="both"/>
              <w:rPr>
                <w:rFonts w:ascii="Arial" w:hAnsi="Arial" w:cs="Arial"/>
                <w:szCs w:val="22"/>
                <w:lang w:val="es-CR"/>
              </w:rPr>
            </w:pPr>
            <w:r w:rsidRPr="00F87CD2">
              <w:rPr>
                <w:rFonts w:ascii="Arial" w:hAnsi="Arial" w:cs="Arial"/>
                <w:szCs w:val="22"/>
                <w:lang w:val="es-CR"/>
              </w:rPr>
              <w:t>Estimación de incobrables</w:t>
            </w:r>
          </w:p>
        </w:tc>
        <w:tc>
          <w:tcPr>
            <w:tcW w:w="4262" w:type="dxa"/>
            <w:tcBorders>
              <w:top w:val="single" w:sz="4" w:space="0" w:color="auto"/>
              <w:left w:val="single" w:sz="4" w:space="0" w:color="auto"/>
              <w:bottom w:val="single" w:sz="4" w:space="0" w:color="auto"/>
              <w:right w:val="single" w:sz="4" w:space="0" w:color="auto"/>
            </w:tcBorders>
          </w:tcPr>
          <w:p w14:paraId="26E9A2C8" w14:textId="77777777" w:rsidR="00F87CD2" w:rsidRPr="00F87CD2" w:rsidRDefault="00F87CD2">
            <w:pPr>
              <w:jc w:val="both"/>
              <w:rPr>
                <w:rFonts w:ascii="Arial" w:hAnsi="Arial" w:cs="Arial"/>
                <w:szCs w:val="22"/>
                <w:lang w:val="es-CR"/>
              </w:rPr>
            </w:pPr>
            <w:r w:rsidRPr="00F87CD2">
              <w:rPr>
                <w:rFonts w:ascii="Arial" w:hAnsi="Arial" w:cs="Arial"/>
                <w:szCs w:val="22"/>
                <w:lang w:val="es-CR"/>
              </w:rPr>
              <w:t>Corresponde al saldo que tiene registrado el inquilino por concepto de estimación por incobrable al cierre del mes.</w:t>
            </w:r>
          </w:p>
          <w:p w14:paraId="6C169DCF" w14:textId="77777777" w:rsidR="00F87CD2" w:rsidRPr="00F87CD2" w:rsidRDefault="00F87CD2">
            <w:pPr>
              <w:jc w:val="both"/>
              <w:rPr>
                <w:rFonts w:ascii="Arial" w:hAnsi="Arial" w:cs="Arial"/>
                <w:szCs w:val="22"/>
                <w:lang w:val="es-CR"/>
              </w:rPr>
            </w:pPr>
          </w:p>
          <w:p w14:paraId="3AB0EF28" w14:textId="77777777" w:rsidR="00F87CD2" w:rsidRPr="00F87CD2" w:rsidRDefault="00F87CD2">
            <w:pPr>
              <w:jc w:val="both"/>
              <w:rPr>
                <w:rFonts w:ascii="Arial" w:hAnsi="Arial" w:cs="Arial"/>
                <w:szCs w:val="22"/>
                <w:lang w:val="es-CR"/>
              </w:rPr>
            </w:pPr>
            <w:r w:rsidRPr="00F87CD2">
              <w:rPr>
                <w:rFonts w:ascii="Arial" w:hAnsi="Arial" w:cs="Arial"/>
                <w:szCs w:val="22"/>
                <w:lang w:val="es-CR"/>
              </w:rPr>
              <w:t>Nota: la suma de todos los inquilinos debe ser igual a la cuenta de Estimación por Incobrables reportadas en el Balance General.</w:t>
            </w:r>
          </w:p>
          <w:p w14:paraId="30D3AD2B" w14:textId="77777777" w:rsidR="00F87CD2" w:rsidRPr="00F87CD2" w:rsidRDefault="00F87CD2">
            <w:pPr>
              <w:jc w:val="both"/>
              <w:rPr>
                <w:rFonts w:ascii="Arial" w:hAnsi="Arial" w:cs="Arial"/>
                <w:szCs w:val="22"/>
                <w:lang w:val="es-CR"/>
              </w:rPr>
            </w:pPr>
          </w:p>
          <w:p w14:paraId="43A72A14" w14:textId="77777777" w:rsidR="00F87CD2" w:rsidRPr="00F87CD2" w:rsidRDefault="00F87CD2">
            <w:pPr>
              <w:jc w:val="both"/>
              <w:rPr>
                <w:rFonts w:ascii="Arial" w:hAnsi="Arial" w:cs="Arial"/>
                <w:szCs w:val="22"/>
                <w:lang w:val="es-CR"/>
              </w:rPr>
            </w:pPr>
            <w:r w:rsidRPr="00F87CD2">
              <w:rPr>
                <w:rFonts w:ascii="Arial" w:hAnsi="Arial" w:cs="Arial"/>
                <w:szCs w:val="22"/>
                <w:lang w:val="es-CR"/>
              </w:rPr>
              <w:t xml:space="preserve">Cuenta: </w:t>
            </w:r>
          </w:p>
          <w:p w14:paraId="7F062AD6" w14:textId="77777777" w:rsidR="00F87CD2" w:rsidRPr="00F87CD2" w:rsidRDefault="00F87CD2">
            <w:pPr>
              <w:jc w:val="both"/>
              <w:rPr>
                <w:rFonts w:ascii="Arial" w:hAnsi="Arial" w:cs="Arial"/>
                <w:szCs w:val="22"/>
                <w:lang w:val="es-CR"/>
              </w:rPr>
            </w:pPr>
            <w:r w:rsidRPr="00F87CD2">
              <w:rPr>
                <w:rFonts w:ascii="Arial" w:hAnsi="Arial" w:cs="Arial"/>
                <w:szCs w:val="22"/>
                <w:lang w:val="es-CR"/>
              </w:rPr>
              <w:t>701025029000</w:t>
            </w:r>
          </w:p>
        </w:tc>
        <w:tc>
          <w:tcPr>
            <w:tcW w:w="1222" w:type="dxa"/>
            <w:tcBorders>
              <w:top w:val="single" w:sz="4" w:space="0" w:color="auto"/>
              <w:left w:val="single" w:sz="4" w:space="0" w:color="auto"/>
              <w:bottom w:val="single" w:sz="4" w:space="0" w:color="auto"/>
              <w:right w:val="single" w:sz="4" w:space="0" w:color="auto"/>
            </w:tcBorders>
            <w:hideMark/>
          </w:tcPr>
          <w:p w14:paraId="2AA65153" w14:textId="77777777" w:rsidR="00F87CD2" w:rsidRPr="00F87CD2" w:rsidRDefault="00F87CD2">
            <w:pPr>
              <w:jc w:val="both"/>
              <w:rPr>
                <w:rFonts w:ascii="Arial" w:hAnsi="Arial" w:cs="Arial"/>
                <w:szCs w:val="22"/>
                <w:lang w:val="es-CR"/>
              </w:rPr>
            </w:pPr>
            <w:r w:rsidRPr="00F87CD2">
              <w:rPr>
                <w:rFonts w:ascii="Arial" w:hAnsi="Arial" w:cs="Arial"/>
                <w:szCs w:val="22"/>
                <w:lang w:val="es-CR"/>
              </w:rPr>
              <w:t>Numérico</w:t>
            </w:r>
          </w:p>
          <w:p w14:paraId="498AA11D" w14:textId="77777777" w:rsidR="00F87CD2" w:rsidRPr="00F87CD2" w:rsidRDefault="00F87CD2">
            <w:pPr>
              <w:jc w:val="both"/>
              <w:rPr>
                <w:rFonts w:ascii="Arial" w:hAnsi="Arial" w:cs="Arial"/>
                <w:szCs w:val="22"/>
                <w:lang w:val="es-CR"/>
              </w:rPr>
            </w:pPr>
            <w:r w:rsidRPr="00F87CD2">
              <w:rPr>
                <w:rFonts w:ascii="Arial" w:hAnsi="Arial" w:cs="Arial"/>
                <w:szCs w:val="22"/>
                <w:lang w:val="es-CR"/>
              </w:rPr>
              <w:t>(Negativo o cero)</w:t>
            </w:r>
          </w:p>
        </w:tc>
        <w:tc>
          <w:tcPr>
            <w:tcW w:w="889" w:type="dxa"/>
            <w:tcBorders>
              <w:top w:val="single" w:sz="4" w:space="0" w:color="auto"/>
              <w:left w:val="single" w:sz="4" w:space="0" w:color="auto"/>
              <w:bottom w:val="single" w:sz="4" w:space="0" w:color="auto"/>
              <w:right w:val="single" w:sz="4" w:space="0" w:color="auto"/>
            </w:tcBorders>
            <w:hideMark/>
          </w:tcPr>
          <w:p w14:paraId="6653A5B5" w14:textId="77777777" w:rsidR="00F87CD2" w:rsidRPr="00F87CD2" w:rsidRDefault="00F87CD2">
            <w:pPr>
              <w:jc w:val="center"/>
              <w:rPr>
                <w:rFonts w:ascii="Arial" w:hAnsi="Arial" w:cs="Arial"/>
                <w:szCs w:val="22"/>
                <w:lang w:val="es-CR"/>
              </w:rPr>
            </w:pPr>
            <w:r w:rsidRPr="00F87CD2">
              <w:rPr>
                <w:rFonts w:ascii="Arial" w:hAnsi="Arial" w:cs="Arial"/>
                <w:szCs w:val="22"/>
                <w:lang w:val="es-CR"/>
              </w:rPr>
              <w:t>18</w:t>
            </w:r>
          </w:p>
        </w:tc>
        <w:tc>
          <w:tcPr>
            <w:tcW w:w="734" w:type="dxa"/>
            <w:tcBorders>
              <w:top w:val="single" w:sz="4" w:space="0" w:color="auto"/>
              <w:left w:val="single" w:sz="4" w:space="0" w:color="auto"/>
              <w:bottom w:val="single" w:sz="4" w:space="0" w:color="auto"/>
              <w:right w:val="single" w:sz="4" w:space="0" w:color="auto"/>
            </w:tcBorders>
            <w:hideMark/>
          </w:tcPr>
          <w:p w14:paraId="3208F83B" w14:textId="77777777" w:rsidR="00F87CD2" w:rsidRPr="00F87CD2" w:rsidRDefault="00F87CD2">
            <w:pPr>
              <w:jc w:val="center"/>
              <w:rPr>
                <w:rFonts w:ascii="Arial" w:hAnsi="Arial" w:cs="Arial"/>
                <w:szCs w:val="22"/>
                <w:lang w:val="es-CR"/>
              </w:rPr>
            </w:pPr>
            <w:r w:rsidRPr="00F87CD2">
              <w:rPr>
                <w:rFonts w:ascii="Arial" w:hAnsi="Arial" w:cs="Arial"/>
                <w:szCs w:val="22"/>
                <w:lang w:val="es-CR"/>
              </w:rPr>
              <w:t>2</w:t>
            </w:r>
          </w:p>
        </w:tc>
      </w:tr>
      <w:tr w:rsidR="00F87CD2" w:rsidRPr="00F87CD2" w14:paraId="2A612A39" w14:textId="77777777" w:rsidTr="00F87CD2">
        <w:trPr>
          <w:trHeight w:val="1304"/>
          <w:jc w:val="center"/>
        </w:trPr>
        <w:tc>
          <w:tcPr>
            <w:tcW w:w="735" w:type="dxa"/>
            <w:tcBorders>
              <w:top w:val="single" w:sz="4" w:space="0" w:color="auto"/>
              <w:left w:val="single" w:sz="4" w:space="0" w:color="auto"/>
              <w:bottom w:val="single" w:sz="4" w:space="0" w:color="auto"/>
              <w:right w:val="single" w:sz="4" w:space="0" w:color="auto"/>
            </w:tcBorders>
            <w:hideMark/>
          </w:tcPr>
          <w:p w14:paraId="197E3E52" w14:textId="77777777" w:rsidR="00F87CD2" w:rsidRPr="00F87CD2" w:rsidRDefault="00F87CD2">
            <w:pPr>
              <w:jc w:val="center"/>
              <w:rPr>
                <w:rFonts w:ascii="Arial" w:hAnsi="Arial" w:cs="Arial"/>
                <w:szCs w:val="22"/>
                <w:lang w:val="es-CR"/>
              </w:rPr>
            </w:pPr>
            <w:r w:rsidRPr="00F87CD2">
              <w:rPr>
                <w:rFonts w:ascii="Arial" w:hAnsi="Arial" w:cs="Arial"/>
                <w:szCs w:val="22"/>
                <w:lang w:val="es-CR"/>
              </w:rPr>
              <w:t>5</w:t>
            </w:r>
          </w:p>
        </w:tc>
        <w:tc>
          <w:tcPr>
            <w:tcW w:w="1778" w:type="dxa"/>
            <w:tcBorders>
              <w:top w:val="single" w:sz="4" w:space="0" w:color="auto"/>
              <w:left w:val="single" w:sz="4" w:space="0" w:color="auto"/>
              <w:bottom w:val="single" w:sz="4" w:space="0" w:color="auto"/>
              <w:right w:val="single" w:sz="4" w:space="0" w:color="auto"/>
            </w:tcBorders>
            <w:hideMark/>
          </w:tcPr>
          <w:p w14:paraId="1B29957A" w14:textId="77777777" w:rsidR="00F87CD2" w:rsidRPr="00F87CD2" w:rsidRDefault="00F87CD2">
            <w:pPr>
              <w:jc w:val="both"/>
              <w:rPr>
                <w:rFonts w:ascii="Arial" w:hAnsi="Arial" w:cs="Arial"/>
                <w:szCs w:val="22"/>
                <w:lang w:val="es-CR"/>
              </w:rPr>
            </w:pPr>
            <w:r w:rsidRPr="00F87CD2">
              <w:rPr>
                <w:rFonts w:ascii="Arial" w:hAnsi="Arial" w:cs="Arial"/>
                <w:szCs w:val="22"/>
                <w:lang w:val="es-CR"/>
              </w:rPr>
              <w:t>Antigüedad de alquileres por cobrar</w:t>
            </w:r>
          </w:p>
        </w:tc>
        <w:tc>
          <w:tcPr>
            <w:tcW w:w="4262" w:type="dxa"/>
            <w:tcBorders>
              <w:top w:val="single" w:sz="4" w:space="0" w:color="auto"/>
              <w:left w:val="single" w:sz="4" w:space="0" w:color="auto"/>
              <w:bottom w:val="single" w:sz="4" w:space="0" w:color="auto"/>
              <w:right w:val="single" w:sz="4" w:space="0" w:color="auto"/>
            </w:tcBorders>
          </w:tcPr>
          <w:p w14:paraId="255819F3" w14:textId="77777777" w:rsidR="00F87CD2" w:rsidRPr="00F87CD2" w:rsidRDefault="00F87CD2">
            <w:pPr>
              <w:jc w:val="both"/>
              <w:rPr>
                <w:rFonts w:ascii="Arial" w:hAnsi="Arial" w:cs="Arial"/>
                <w:szCs w:val="22"/>
                <w:lang w:val="es-CR"/>
              </w:rPr>
            </w:pPr>
            <w:r w:rsidRPr="00F87CD2">
              <w:rPr>
                <w:rFonts w:ascii="Arial" w:hAnsi="Arial" w:cs="Arial"/>
                <w:szCs w:val="22"/>
                <w:lang w:val="es-CR"/>
              </w:rPr>
              <w:t>Indicar la cantidad de días naturales de esta cuenta referidas en la columna número 3.</w:t>
            </w:r>
          </w:p>
          <w:p w14:paraId="3FE854B2" w14:textId="77777777" w:rsidR="00F87CD2" w:rsidRPr="00F87CD2" w:rsidRDefault="00F87CD2">
            <w:pPr>
              <w:jc w:val="both"/>
              <w:rPr>
                <w:rFonts w:ascii="Arial" w:hAnsi="Arial" w:cs="Arial"/>
                <w:szCs w:val="22"/>
                <w:lang w:val="es-CR"/>
              </w:rPr>
            </w:pPr>
          </w:p>
          <w:p w14:paraId="4F060D33" w14:textId="77777777" w:rsidR="00F87CD2" w:rsidRPr="00F87CD2" w:rsidRDefault="00F87CD2">
            <w:pPr>
              <w:jc w:val="both"/>
              <w:rPr>
                <w:rFonts w:ascii="Arial" w:hAnsi="Arial" w:cs="Arial"/>
                <w:szCs w:val="22"/>
                <w:lang w:val="es-CR"/>
              </w:rPr>
            </w:pPr>
            <w:r w:rsidRPr="00F87CD2">
              <w:rPr>
                <w:rFonts w:ascii="Arial" w:hAnsi="Arial" w:cs="Arial"/>
                <w:szCs w:val="22"/>
                <w:lang w:val="es-CR"/>
              </w:rPr>
              <w:t>Nota: Antigüedad de las Alquileres por cobrar es una columna obligatoria cuando el Saldo de Alquileres por cobrar es mayor a cero. De lo contrario debe reportarse cero.</w:t>
            </w:r>
          </w:p>
          <w:p w14:paraId="363543E1" w14:textId="77777777" w:rsidR="00F87CD2" w:rsidRPr="00F87CD2" w:rsidRDefault="00F87CD2">
            <w:pPr>
              <w:jc w:val="both"/>
              <w:rPr>
                <w:rFonts w:ascii="Arial" w:hAnsi="Arial" w:cs="Arial"/>
                <w:szCs w:val="22"/>
                <w:lang w:val="es-CR"/>
              </w:rPr>
            </w:pPr>
          </w:p>
        </w:tc>
        <w:tc>
          <w:tcPr>
            <w:tcW w:w="1222" w:type="dxa"/>
            <w:tcBorders>
              <w:top w:val="single" w:sz="4" w:space="0" w:color="auto"/>
              <w:left w:val="single" w:sz="4" w:space="0" w:color="auto"/>
              <w:bottom w:val="single" w:sz="4" w:space="0" w:color="auto"/>
              <w:right w:val="single" w:sz="4" w:space="0" w:color="auto"/>
            </w:tcBorders>
          </w:tcPr>
          <w:p w14:paraId="3479ED39" w14:textId="77777777" w:rsidR="00F87CD2" w:rsidRPr="00F87CD2" w:rsidRDefault="00F87CD2">
            <w:pPr>
              <w:jc w:val="both"/>
              <w:rPr>
                <w:rFonts w:ascii="Arial" w:hAnsi="Arial" w:cs="Arial"/>
                <w:szCs w:val="22"/>
                <w:lang w:val="es-CR"/>
              </w:rPr>
            </w:pPr>
            <w:r w:rsidRPr="00F87CD2">
              <w:rPr>
                <w:rFonts w:ascii="Arial" w:hAnsi="Arial" w:cs="Arial"/>
                <w:szCs w:val="22"/>
                <w:lang w:val="es-CR"/>
              </w:rPr>
              <w:t>Numérico</w:t>
            </w:r>
          </w:p>
          <w:p w14:paraId="448E7F6B" w14:textId="77777777" w:rsidR="00F87CD2" w:rsidRPr="00F87CD2" w:rsidRDefault="00F87CD2">
            <w:pPr>
              <w:jc w:val="both"/>
              <w:rPr>
                <w:rFonts w:ascii="Arial" w:hAnsi="Arial" w:cs="Arial"/>
                <w:szCs w:val="22"/>
                <w:lang w:val="es-CR"/>
              </w:rPr>
            </w:pPr>
          </w:p>
          <w:p w14:paraId="29BB124D" w14:textId="77777777" w:rsidR="00F87CD2" w:rsidRPr="00F87CD2" w:rsidRDefault="00F87CD2">
            <w:pPr>
              <w:jc w:val="both"/>
              <w:rPr>
                <w:rFonts w:ascii="Arial" w:hAnsi="Arial" w:cs="Arial"/>
                <w:szCs w:val="22"/>
                <w:lang w:val="es-CR"/>
              </w:rPr>
            </w:pPr>
          </w:p>
        </w:tc>
        <w:tc>
          <w:tcPr>
            <w:tcW w:w="889" w:type="dxa"/>
            <w:tcBorders>
              <w:top w:val="single" w:sz="4" w:space="0" w:color="auto"/>
              <w:left w:val="single" w:sz="4" w:space="0" w:color="auto"/>
              <w:bottom w:val="single" w:sz="4" w:space="0" w:color="auto"/>
              <w:right w:val="single" w:sz="4" w:space="0" w:color="auto"/>
            </w:tcBorders>
            <w:hideMark/>
          </w:tcPr>
          <w:p w14:paraId="08B9D311" w14:textId="77777777" w:rsidR="00F87CD2" w:rsidRPr="00F87CD2" w:rsidRDefault="00F87CD2">
            <w:pPr>
              <w:jc w:val="center"/>
              <w:rPr>
                <w:rFonts w:ascii="Arial" w:hAnsi="Arial" w:cs="Arial"/>
                <w:szCs w:val="22"/>
                <w:lang w:val="es-CR"/>
              </w:rPr>
            </w:pPr>
            <w:r w:rsidRPr="00F87CD2">
              <w:rPr>
                <w:rFonts w:ascii="Arial" w:hAnsi="Arial" w:cs="Arial"/>
                <w:szCs w:val="22"/>
                <w:lang w:val="es-CR"/>
              </w:rPr>
              <w:t>5</w:t>
            </w:r>
          </w:p>
        </w:tc>
        <w:tc>
          <w:tcPr>
            <w:tcW w:w="734" w:type="dxa"/>
            <w:tcBorders>
              <w:top w:val="single" w:sz="4" w:space="0" w:color="auto"/>
              <w:left w:val="single" w:sz="4" w:space="0" w:color="auto"/>
              <w:bottom w:val="single" w:sz="4" w:space="0" w:color="auto"/>
              <w:right w:val="single" w:sz="4" w:space="0" w:color="auto"/>
            </w:tcBorders>
            <w:hideMark/>
          </w:tcPr>
          <w:p w14:paraId="5BE2E467" w14:textId="77777777" w:rsidR="00F87CD2" w:rsidRPr="00F87CD2" w:rsidRDefault="00F87CD2">
            <w:pPr>
              <w:jc w:val="center"/>
              <w:rPr>
                <w:rFonts w:ascii="Arial" w:hAnsi="Arial" w:cs="Arial"/>
                <w:szCs w:val="22"/>
                <w:lang w:val="es-CR"/>
              </w:rPr>
            </w:pPr>
            <w:r w:rsidRPr="00F87CD2">
              <w:rPr>
                <w:rFonts w:ascii="Arial" w:hAnsi="Arial" w:cs="Arial"/>
                <w:szCs w:val="22"/>
                <w:lang w:val="es-CR"/>
              </w:rPr>
              <w:t>0</w:t>
            </w:r>
          </w:p>
        </w:tc>
      </w:tr>
      <w:tr w:rsidR="00F87CD2" w:rsidRPr="00F87CD2" w14:paraId="0BC80011" w14:textId="77777777" w:rsidTr="00F87CD2">
        <w:trPr>
          <w:trHeight w:val="1292"/>
          <w:jc w:val="center"/>
        </w:trPr>
        <w:tc>
          <w:tcPr>
            <w:tcW w:w="735" w:type="dxa"/>
            <w:tcBorders>
              <w:top w:val="single" w:sz="4" w:space="0" w:color="auto"/>
              <w:left w:val="single" w:sz="4" w:space="0" w:color="auto"/>
              <w:bottom w:val="single" w:sz="4" w:space="0" w:color="auto"/>
              <w:right w:val="single" w:sz="4" w:space="0" w:color="auto"/>
            </w:tcBorders>
          </w:tcPr>
          <w:p w14:paraId="6C9D8846" w14:textId="77777777" w:rsidR="00F87CD2" w:rsidRPr="00F87CD2" w:rsidRDefault="00F87CD2">
            <w:pPr>
              <w:jc w:val="center"/>
              <w:rPr>
                <w:rFonts w:ascii="Arial" w:hAnsi="Arial" w:cs="Arial"/>
                <w:szCs w:val="22"/>
                <w:lang w:val="es-CR"/>
              </w:rPr>
            </w:pPr>
            <w:r w:rsidRPr="00F87CD2">
              <w:rPr>
                <w:rFonts w:ascii="Arial" w:hAnsi="Arial" w:cs="Arial"/>
                <w:szCs w:val="22"/>
                <w:lang w:val="es-CR"/>
              </w:rPr>
              <w:t>6</w:t>
            </w:r>
          </w:p>
          <w:p w14:paraId="7281CEC7" w14:textId="77777777" w:rsidR="00F87CD2" w:rsidRPr="00F87CD2" w:rsidRDefault="00F87CD2">
            <w:pPr>
              <w:jc w:val="center"/>
              <w:rPr>
                <w:rFonts w:ascii="Arial" w:hAnsi="Arial" w:cs="Arial"/>
                <w:szCs w:val="22"/>
                <w:lang w:val="es-CR"/>
              </w:rPr>
            </w:pPr>
          </w:p>
        </w:tc>
        <w:tc>
          <w:tcPr>
            <w:tcW w:w="1778" w:type="dxa"/>
            <w:tcBorders>
              <w:top w:val="single" w:sz="4" w:space="0" w:color="auto"/>
              <w:left w:val="single" w:sz="4" w:space="0" w:color="auto"/>
              <w:bottom w:val="single" w:sz="4" w:space="0" w:color="auto"/>
              <w:right w:val="single" w:sz="4" w:space="0" w:color="auto"/>
            </w:tcBorders>
          </w:tcPr>
          <w:p w14:paraId="78E6911D" w14:textId="77777777" w:rsidR="00F87CD2" w:rsidRPr="00F87CD2" w:rsidRDefault="00F87CD2">
            <w:pPr>
              <w:jc w:val="both"/>
              <w:rPr>
                <w:rFonts w:ascii="Arial" w:hAnsi="Arial" w:cs="Arial"/>
                <w:szCs w:val="22"/>
                <w:lang w:val="es-CR"/>
              </w:rPr>
            </w:pPr>
            <w:r w:rsidRPr="00F87CD2">
              <w:rPr>
                <w:rFonts w:ascii="Arial" w:hAnsi="Arial" w:cs="Arial"/>
                <w:szCs w:val="22"/>
                <w:lang w:val="es-CR"/>
              </w:rPr>
              <w:t>Saldo de cuentas de orden por concepto de ingresos por arrendamiento</w:t>
            </w:r>
          </w:p>
          <w:p w14:paraId="405A0A3C" w14:textId="77777777" w:rsidR="00F87CD2" w:rsidRPr="00F87CD2" w:rsidRDefault="00F87CD2">
            <w:pPr>
              <w:jc w:val="both"/>
              <w:rPr>
                <w:rFonts w:ascii="Arial" w:hAnsi="Arial" w:cs="Arial"/>
                <w:szCs w:val="22"/>
                <w:lang w:val="es-CR"/>
              </w:rPr>
            </w:pPr>
          </w:p>
        </w:tc>
        <w:tc>
          <w:tcPr>
            <w:tcW w:w="4262" w:type="dxa"/>
            <w:tcBorders>
              <w:top w:val="single" w:sz="4" w:space="0" w:color="auto"/>
              <w:left w:val="single" w:sz="4" w:space="0" w:color="auto"/>
              <w:bottom w:val="single" w:sz="4" w:space="0" w:color="auto"/>
              <w:right w:val="single" w:sz="4" w:space="0" w:color="auto"/>
            </w:tcBorders>
          </w:tcPr>
          <w:p w14:paraId="59476DA5" w14:textId="77777777" w:rsidR="00F87CD2" w:rsidRPr="00F87CD2" w:rsidRDefault="00F87CD2">
            <w:pPr>
              <w:jc w:val="both"/>
              <w:rPr>
                <w:rFonts w:ascii="Arial" w:hAnsi="Arial" w:cs="Arial"/>
                <w:szCs w:val="22"/>
                <w:lang w:val="es-CR"/>
              </w:rPr>
            </w:pPr>
            <w:r w:rsidRPr="00F87CD2">
              <w:rPr>
                <w:rFonts w:ascii="Arial" w:hAnsi="Arial" w:cs="Arial"/>
                <w:szCs w:val="22"/>
                <w:lang w:val="es-CR"/>
              </w:rPr>
              <w:t>Corresponde al saldo que tiene registrado el inquilino por concepto de cuentas de orden al cierre del mes.</w:t>
            </w:r>
          </w:p>
          <w:p w14:paraId="24464895" w14:textId="77777777" w:rsidR="00F87CD2" w:rsidRPr="00F87CD2" w:rsidRDefault="00F87CD2">
            <w:pPr>
              <w:jc w:val="both"/>
              <w:rPr>
                <w:rFonts w:ascii="Arial" w:hAnsi="Arial" w:cs="Arial"/>
                <w:szCs w:val="22"/>
                <w:lang w:val="es-CR"/>
              </w:rPr>
            </w:pPr>
          </w:p>
          <w:p w14:paraId="375B3659" w14:textId="77777777" w:rsidR="00F87CD2" w:rsidRPr="00F87CD2" w:rsidRDefault="00F87CD2">
            <w:pPr>
              <w:jc w:val="both"/>
              <w:rPr>
                <w:rFonts w:ascii="Arial" w:hAnsi="Arial" w:cs="Arial"/>
                <w:szCs w:val="22"/>
                <w:lang w:val="es-CR"/>
              </w:rPr>
            </w:pPr>
          </w:p>
          <w:p w14:paraId="4140D357" w14:textId="77777777" w:rsidR="00F87CD2" w:rsidRPr="00F87CD2" w:rsidRDefault="00F87CD2">
            <w:pPr>
              <w:jc w:val="both"/>
              <w:rPr>
                <w:rFonts w:ascii="Arial" w:hAnsi="Arial" w:cs="Arial"/>
                <w:szCs w:val="22"/>
                <w:lang w:val="es-CR"/>
              </w:rPr>
            </w:pPr>
          </w:p>
          <w:p w14:paraId="6EF896BB" w14:textId="77777777" w:rsidR="00F87CD2" w:rsidRPr="00F87CD2" w:rsidRDefault="00F87CD2">
            <w:pPr>
              <w:jc w:val="both"/>
              <w:rPr>
                <w:rFonts w:ascii="Arial" w:hAnsi="Arial" w:cs="Arial"/>
                <w:szCs w:val="22"/>
                <w:lang w:val="es-CR"/>
              </w:rPr>
            </w:pPr>
          </w:p>
        </w:tc>
        <w:tc>
          <w:tcPr>
            <w:tcW w:w="1222" w:type="dxa"/>
            <w:tcBorders>
              <w:top w:val="single" w:sz="4" w:space="0" w:color="auto"/>
              <w:left w:val="single" w:sz="4" w:space="0" w:color="auto"/>
              <w:bottom w:val="single" w:sz="4" w:space="0" w:color="auto"/>
              <w:right w:val="single" w:sz="4" w:space="0" w:color="auto"/>
            </w:tcBorders>
            <w:hideMark/>
          </w:tcPr>
          <w:p w14:paraId="51BB73E0" w14:textId="77777777" w:rsidR="00F87CD2" w:rsidRPr="00F87CD2" w:rsidRDefault="00F87CD2">
            <w:pPr>
              <w:jc w:val="both"/>
              <w:rPr>
                <w:rFonts w:ascii="Arial" w:hAnsi="Arial" w:cs="Arial"/>
                <w:szCs w:val="22"/>
                <w:lang w:val="es-CR"/>
              </w:rPr>
            </w:pPr>
            <w:r w:rsidRPr="00F87CD2">
              <w:rPr>
                <w:rFonts w:ascii="Arial" w:hAnsi="Arial" w:cs="Arial"/>
                <w:szCs w:val="22"/>
                <w:lang w:val="es-CR"/>
              </w:rPr>
              <w:t>Numérico</w:t>
            </w:r>
          </w:p>
        </w:tc>
        <w:tc>
          <w:tcPr>
            <w:tcW w:w="889" w:type="dxa"/>
            <w:tcBorders>
              <w:top w:val="single" w:sz="4" w:space="0" w:color="auto"/>
              <w:left w:val="single" w:sz="4" w:space="0" w:color="auto"/>
              <w:bottom w:val="single" w:sz="4" w:space="0" w:color="auto"/>
              <w:right w:val="single" w:sz="4" w:space="0" w:color="auto"/>
            </w:tcBorders>
            <w:hideMark/>
          </w:tcPr>
          <w:p w14:paraId="1F59409A" w14:textId="77777777" w:rsidR="00F87CD2" w:rsidRPr="00F87CD2" w:rsidRDefault="00F87CD2">
            <w:pPr>
              <w:jc w:val="center"/>
              <w:rPr>
                <w:rFonts w:ascii="Arial" w:hAnsi="Arial" w:cs="Arial"/>
                <w:szCs w:val="22"/>
                <w:lang w:val="es-CR"/>
              </w:rPr>
            </w:pPr>
            <w:r w:rsidRPr="00F87CD2">
              <w:rPr>
                <w:rFonts w:ascii="Arial" w:hAnsi="Arial" w:cs="Arial"/>
                <w:szCs w:val="22"/>
                <w:lang w:val="es-CR"/>
              </w:rPr>
              <w:t>18</w:t>
            </w:r>
          </w:p>
        </w:tc>
        <w:tc>
          <w:tcPr>
            <w:tcW w:w="734" w:type="dxa"/>
            <w:tcBorders>
              <w:top w:val="single" w:sz="4" w:space="0" w:color="auto"/>
              <w:left w:val="single" w:sz="4" w:space="0" w:color="auto"/>
              <w:bottom w:val="single" w:sz="4" w:space="0" w:color="auto"/>
              <w:right w:val="single" w:sz="4" w:space="0" w:color="auto"/>
            </w:tcBorders>
            <w:hideMark/>
          </w:tcPr>
          <w:p w14:paraId="3E1020D2" w14:textId="77777777" w:rsidR="00F87CD2" w:rsidRPr="00F87CD2" w:rsidRDefault="00F87CD2">
            <w:pPr>
              <w:jc w:val="center"/>
              <w:rPr>
                <w:rFonts w:ascii="Arial" w:hAnsi="Arial" w:cs="Arial"/>
                <w:szCs w:val="22"/>
                <w:lang w:val="es-CR"/>
              </w:rPr>
            </w:pPr>
            <w:r w:rsidRPr="00F87CD2">
              <w:rPr>
                <w:rFonts w:ascii="Arial" w:hAnsi="Arial" w:cs="Arial"/>
                <w:szCs w:val="22"/>
                <w:lang w:val="es-CR"/>
              </w:rPr>
              <w:t>2</w:t>
            </w:r>
          </w:p>
        </w:tc>
      </w:tr>
      <w:tr w:rsidR="00F87CD2" w:rsidRPr="00F87CD2" w14:paraId="649AF64F" w14:textId="77777777" w:rsidTr="00F87CD2">
        <w:trPr>
          <w:trHeight w:val="1474"/>
          <w:jc w:val="center"/>
        </w:trPr>
        <w:tc>
          <w:tcPr>
            <w:tcW w:w="735" w:type="dxa"/>
            <w:tcBorders>
              <w:top w:val="single" w:sz="4" w:space="0" w:color="auto"/>
              <w:left w:val="single" w:sz="4" w:space="0" w:color="auto"/>
              <w:bottom w:val="single" w:sz="4" w:space="0" w:color="auto"/>
              <w:right w:val="single" w:sz="4" w:space="0" w:color="auto"/>
            </w:tcBorders>
            <w:hideMark/>
          </w:tcPr>
          <w:p w14:paraId="12B7559C" w14:textId="77777777" w:rsidR="00F87CD2" w:rsidRPr="00F87CD2" w:rsidRDefault="00F87CD2">
            <w:pPr>
              <w:jc w:val="center"/>
              <w:rPr>
                <w:rFonts w:ascii="Arial" w:hAnsi="Arial" w:cs="Arial"/>
                <w:szCs w:val="22"/>
                <w:lang w:val="es-CR"/>
              </w:rPr>
            </w:pPr>
            <w:r w:rsidRPr="00F87CD2">
              <w:rPr>
                <w:rFonts w:ascii="Arial" w:hAnsi="Arial" w:cs="Arial"/>
                <w:szCs w:val="22"/>
                <w:lang w:val="es-CR"/>
              </w:rPr>
              <w:t>7</w:t>
            </w:r>
          </w:p>
        </w:tc>
        <w:tc>
          <w:tcPr>
            <w:tcW w:w="1778" w:type="dxa"/>
            <w:tcBorders>
              <w:top w:val="single" w:sz="4" w:space="0" w:color="auto"/>
              <w:left w:val="single" w:sz="4" w:space="0" w:color="auto"/>
              <w:bottom w:val="single" w:sz="4" w:space="0" w:color="auto"/>
              <w:right w:val="single" w:sz="4" w:space="0" w:color="auto"/>
            </w:tcBorders>
          </w:tcPr>
          <w:p w14:paraId="1E5BF573" w14:textId="77777777" w:rsidR="00F87CD2" w:rsidRPr="00F87CD2" w:rsidRDefault="00F87CD2">
            <w:pPr>
              <w:rPr>
                <w:rFonts w:ascii="Arial" w:hAnsi="Arial" w:cs="Arial"/>
                <w:szCs w:val="22"/>
                <w:lang w:val="es-CR"/>
              </w:rPr>
            </w:pPr>
            <w:r w:rsidRPr="00F87CD2">
              <w:rPr>
                <w:rFonts w:ascii="Arial" w:hAnsi="Arial" w:cs="Arial"/>
                <w:szCs w:val="22"/>
                <w:lang w:val="es-CR"/>
              </w:rPr>
              <w:t>Proceso Judicial de los alquileres registrados en cuentas de Orden</w:t>
            </w:r>
          </w:p>
          <w:p w14:paraId="48E403F6" w14:textId="77777777" w:rsidR="00F87CD2" w:rsidRPr="00F87CD2" w:rsidRDefault="00F87CD2">
            <w:pPr>
              <w:jc w:val="both"/>
              <w:rPr>
                <w:rFonts w:ascii="Arial" w:hAnsi="Arial" w:cs="Arial"/>
                <w:szCs w:val="22"/>
                <w:lang w:val="es-CR"/>
              </w:rPr>
            </w:pPr>
          </w:p>
        </w:tc>
        <w:tc>
          <w:tcPr>
            <w:tcW w:w="4262" w:type="dxa"/>
            <w:tcBorders>
              <w:top w:val="single" w:sz="4" w:space="0" w:color="auto"/>
              <w:left w:val="single" w:sz="4" w:space="0" w:color="auto"/>
              <w:bottom w:val="single" w:sz="4" w:space="0" w:color="auto"/>
              <w:right w:val="single" w:sz="4" w:space="0" w:color="auto"/>
            </w:tcBorders>
          </w:tcPr>
          <w:p w14:paraId="6E78BD45" w14:textId="77777777" w:rsidR="00F87CD2" w:rsidRPr="00F87CD2" w:rsidRDefault="00F87CD2">
            <w:pPr>
              <w:jc w:val="both"/>
              <w:rPr>
                <w:rFonts w:ascii="Arial" w:hAnsi="Arial" w:cs="Arial"/>
                <w:szCs w:val="22"/>
                <w:lang w:val="es-CR"/>
              </w:rPr>
            </w:pPr>
            <w:r w:rsidRPr="00F87CD2">
              <w:rPr>
                <w:rFonts w:ascii="Arial" w:hAnsi="Arial" w:cs="Arial"/>
                <w:szCs w:val="22"/>
                <w:lang w:val="es-CR"/>
              </w:rPr>
              <w:lastRenderedPageBreak/>
              <w:t>Se debe seleccionar una categoría de la lista adjunta para las Cuentas de Orden indicadas en la columna no.5:</w:t>
            </w:r>
          </w:p>
          <w:p w14:paraId="2901F628" w14:textId="77777777" w:rsidR="00F87CD2" w:rsidRPr="00F87CD2" w:rsidRDefault="00F87CD2">
            <w:pPr>
              <w:jc w:val="both"/>
              <w:rPr>
                <w:rFonts w:ascii="Arial" w:hAnsi="Arial" w:cs="Arial"/>
                <w:szCs w:val="22"/>
                <w:lang w:val="es-CR"/>
              </w:rPr>
            </w:pPr>
          </w:p>
          <w:p w14:paraId="4B4D1A32" w14:textId="77777777" w:rsidR="00F87CD2" w:rsidRPr="00F87CD2" w:rsidRDefault="00F87CD2">
            <w:pPr>
              <w:jc w:val="both"/>
              <w:rPr>
                <w:rFonts w:ascii="Arial" w:hAnsi="Arial" w:cs="Arial"/>
                <w:szCs w:val="22"/>
                <w:lang w:val="es-CR"/>
              </w:rPr>
            </w:pPr>
            <w:r w:rsidRPr="00F87CD2">
              <w:rPr>
                <w:rFonts w:ascii="Arial" w:hAnsi="Arial" w:cs="Arial"/>
                <w:szCs w:val="22"/>
                <w:lang w:val="es-CR"/>
              </w:rPr>
              <w:t>No aplica =0</w:t>
            </w:r>
          </w:p>
          <w:p w14:paraId="67F2DCCF" w14:textId="77777777" w:rsidR="00F87CD2" w:rsidRPr="00F87CD2" w:rsidRDefault="00F87CD2">
            <w:pPr>
              <w:jc w:val="both"/>
              <w:rPr>
                <w:rFonts w:ascii="Arial" w:hAnsi="Arial" w:cs="Arial"/>
                <w:szCs w:val="22"/>
                <w:lang w:val="es-CR"/>
              </w:rPr>
            </w:pPr>
            <w:r w:rsidRPr="00F87CD2">
              <w:rPr>
                <w:rFonts w:ascii="Arial" w:hAnsi="Arial" w:cs="Arial"/>
                <w:szCs w:val="22"/>
                <w:lang w:val="es-CR"/>
              </w:rPr>
              <w:t>Trámite administrativo =1</w:t>
            </w:r>
          </w:p>
          <w:p w14:paraId="6B0DD992" w14:textId="77777777" w:rsidR="00F87CD2" w:rsidRPr="00F87CD2" w:rsidRDefault="00F87CD2">
            <w:pPr>
              <w:jc w:val="both"/>
              <w:rPr>
                <w:rFonts w:ascii="Arial" w:hAnsi="Arial" w:cs="Arial"/>
                <w:szCs w:val="22"/>
                <w:lang w:val="es-CR"/>
              </w:rPr>
            </w:pPr>
            <w:r w:rsidRPr="00F87CD2">
              <w:rPr>
                <w:rFonts w:ascii="Arial" w:hAnsi="Arial" w:cs="Arial"/>
                <w:szCs w:val="22"/>
                <w:lang w:val="es-CR"/>
              </w:rPr>
              <w:lastRenderedPageBreak/>
              <w:t>Desahucio=2</w:t>
            </w:r>
          </w:p>
          <w:p w14:paraId="0D60B738" w14:textId="77777777" w:rsidR="00F87CD2" w:rsidRPr="00F87CD2" w:rsidRDefault="00F87CD2">
            <w:pPr>
              <w:jc w:val="both"/>
              <w:rPr>
                <w:rFonts w:ascii="Arial" w:hAnsi="Arial" w:cs="Arial"/>
                <w:szCs w:val="22"/>
                <w:lang w:val="es-CR"/>
              </w:rPr>
            </w:pPr>
            <w:r w:rsidRPr="00F87CD2">
              <w:rPr>
                <w:rFonts w:ascii="Arial" w:hAnsi="Arial" w:cs="Arial"/>
                <w:szCs w:val="22"/>
                <w:lang w:val="es-CR"/>
              </w:rPr>
              <w:t>Otros procesos legales=3</w:t>
            </w:r>
          </w:p>
          <w:p w14:paraId="52619883" w14:textId="77777777" w:rsidR="00F87CD2" w:rsidRPr="00F87CD2" w:rsidRDefault="00F87CD2">
            <w:pPr>
              <w:jc w:val="both"/>
              <w:rPr>
                <w:rFonts w:ascii="Arial" w:hAnsi="Arial" w:cs="Arial"/>
                <w:szCs w:val="22"/>
                <w:lang w:val="es-CR"/>
              </w:rPr>
            </w:pPr>
          </w:p>
          <w:p w14:paraId="0524CA23" w14:textId="77777777" w:rsidR="00F87CD2" w:rsidRPr="00F87CD2" w:rsidRDefault="00F87CD2">
            <w:pPr>
              <w:jc w:val="both"/>
              <w:rPr>
                <w:rFonts w:ascii="Arial" w:hAnsi="Arial" w:cs="Arial"/>
                <w:szCs w:val="22"/>
                <w:lang w:val="es-CR"/>
              </w:rPr>
            </w:pPr>
            <w:r w:rsidRPr="00F87CD2">
              <w:rPr>
                <w:rFonts w:ascii="Arial" w:hAnsi="Arial" w:cs="Arial"/>
                <w:szCs w:val="22"/>
                <w:lang w:val="es-CR"/>
              </w:rPr>
              <w:t>Nota: Proceso Judicial de los Alquileres registrados en Cuentas de Orden; es una columna obligatoria cuando el Saldo Cuentas de Orden por concepto de Ingresos por arrendamiento es mayor a cero. De lo contrario debe reportarse cero.</w:t>
            </w:r>
          </w:p>
        </w:tc>
        <w:tc>
          <w:tcPr>
            <w:tcW w:w="1222" w:type="dxa"/>
            <w:tcBorders>
              <w:top w:val="single" w:sz="4" w:space="0" w:color="auto"/>
              <w:left w:val="single" w:sz="4" w:space="0" w:color="auto"/>
              <w:bottom w:val="single" w:sz="4" w:space="0" w:color="auto"/>
              <w:right w:val="single" w:sz="4" w:space="0" w:color="auto"/>
            </w:tcBorders>
            <w:hideMark/>
          </w:tcPr>
          <w:p w14:paraId="6F6B4D72" w14:textId="77777777" w:rsidR="00F87CD2" w:rsidRPr="00F87CD2" w:rsidRDefault="00F87CD2">
            <w:pPr>
              <w:jc w:val="both"/>
              <w:rPr>
                <w:rFonts w:ascii="Arial" w:hAnsi="Arial" w:cs="Arial"/>
                <w:szCs w:val="22"/>
                <w:lang w:val="es-CR"/>
              </w:rPr>
            </w:pPr>
            <w:r w:rsidRPr="00F87CD2">
              <w:rPr>
                <w:rFonts w:ascii="Arial" w:hAnsi="Arial" w:cs="Arial"/>
                <w:szCs w:val="22"/>
                <w:lang w:val="es-CR"/>
              </w:rPr>
              <w:lastRenderedPageBreak/>
              <w:t>Numérico</w:t>
            </w:r>
          </w:p>
        </w:tc>
        <w:tc>
          <w:tcPr>
            <w:tcW w:w="889" w:type="dxa"/>
            <w:tcBorders>
              <w:top w:val="single" w:sz="4" w:space="0" w:color="auto"/>
              <w:left w:val="single" w:sz="4" w:space="0" w:color="auto"/>
              <w:bottom w:val="single" w:sz="4" w:space="0" w:color="auto"/>
              <w:right w:val="single" w:sz="4" w:space="0" w:color="auto"/>
            </w:tcBorders>
            <w:hideMark/>
          </w:tcPr>
          <w:p w14:paraId="0286F91E" w14:textId="77777777" w:rsidR="00F87CD2" w:rsidRPr="00F87CD2" w:rsidRDefault="00F87CD2">
            <w:pPr>
              <w:jc w:val="center"/>
              <w:rPr>
                <w:rFonts w:ascii="Arial" w:hAnsi="Arial" w:cs="Arial"/>
                <w:szCs w:val="22"/>
                <w:lang w:val="es-CR"/>
              </w:rPr>
            </w:pPr>
            <w:r w:rsidRPr="00F87CD2">
              <w:rPr>
                <w:rFonts w:ascii="Arial" w:hAnsi="Arial" w:cs="Arial"/>
                <w:szCs w:val="22"/>
                <w:lang w:val="es-CR"/>
              </w:rPr>
              <w:t>1</w:t>
            </w:r>
          </w:p>
        </w:tc>
        <w:tc>
          <w:tcPr>
            <w:tcW w:w="734" w:type="dxa"/>
            <w:tcBorders>
              <w:top w:val="single" w:sz="4" w:space="0" w:color="auto"/>
              <w:left w:val="single" w:sz="4" w:space="0" w:color="auto"/>
              <w:bottom w:val="single" w:sz="4" w:space="0" w:color="auto"/>
              <w:right w:val="single" w:sz="4" w:space="0" w:color="auto"/>
            </w:tcBorders>
            <w:hideMark/>
          </w:tcPr>
          <w:p w14:paraId="0F0F9A31" w14:textId="77777777" w:rsidR="00F87CD2" w:rsidRPr="00F87CD2" w:rsidRDefault="00F87CD2">
            <w:pPr>
              <w:jc w:val="center"/>
              <w:rPr>
                <w:rFonts w:ascii="Arial" w:hAnsi="Arial" w:cs="Arial"/>
                <w:color w:val="FF0000"/>
                <w:szCs w:val="22"/>
                <w:lang w:val="es-CR"/>
              </w:rPr>
            </w:pPr>
            <w:r w:rsidRPr="00F87CD2">
              <w:rPr>
                <w:rFonts w:ascii="Arial" w:hAnsi="Arial" w:cs="Arial"/>
                <w:szCs w:val="22"/>
                <w:lang w:val="es-CR"/>
              </w:rPr>
              <w:t>0</w:t>
            </w:r>
          </w:p>
        </w:tc>
      </w:tr>
    </w:tbl>
    <w:p w14:paraId="27E8217F" w14:textId="77777777" w:rsidR="00F87CD2" w:rsidRPr="00F87CD2" w:rsidRDefault="00F87CD2" w:rsidP="00F87CD2">
      <w:pPr>
        <w:jc w:val="both"/>
        <w:rPr>
          <w:rFonts w:ascii="Arial" w:eastAsia="Calibri" w:hAnsi="Arial" w:cs="Arial"/>
          <w:color w:val="000000"/>
          <w:szCs w:val="22"/>
          <w:highlight w:val="yellow"/>
          <w:lang w:val="es-CR" w:eastAsia="es-CR"/>
        </w:rPr>
      </w:pPr>
    </w:p>
    <w:p w14:paraId="0F59D517" w14:textId="77777777" w:rsidR="00F87CD2" w:rsidRPr="00F87CD2" w:rsidRDefault="00F87CD2" w:rsidP="00F87CD2">
      <w:pPr>
        <w:pStyle w:val="Prrafodelista"/>
        <w:numPr>
          <w:ilvl w:val="0"/>
          <w:numId w:val="18"/>
        </w:numPr>
        <w:spacing w:after="160" w:line="256" w:lineRule="auto"/>
        <w:ind w:left="709" w:hanging="696"/>
        <w:jc w:val="both"/>
        <w:rPr>
          <w:rFonts w:ascii="Arial" w:eastAsia="Calibri" w:hAnsi="Arial" w:cs="Arial"/>
          <w:szCs w:val="22"/>
          <w:lang w:eastAsia="en-US"/>
        </w:rPr>
      </w:pPr>
      <w:r w:rsidRPr="00F87CD2">
        <w:rPr>
          <w:rFonts w:ascii="Arial" w:eastAsia="Calibri" w:hAnsi="Arial" w:cs="Arial"/>
          <w:szCs w:val="22"/>
        </w:rPr>
        <w:t xml:space="preserve">Se modifican en el </w:t>
      </w:r>
      <w:r w:rsidRPr="00F87CD2">
        <w:rPr>
          <w:rFonts w:ascii="Arial" w:eastAsia="Calibri" w:hAnsi="Arial" w:cs="Arial"/>
          <w:color w:val="000000"/>
          <w:szCs w:val="22"/>
          <w:lang w:val="es-CR" w:eastAsia="es-CR"/>
        </w:rPr>
        <w:t xml:space="preserve">Anexo 22 del acuerdo SGV-A-75 </w:t>
      </w:r>
      <w:r w:rsidRPr="00F87CD2">
        <w:rPr>
          <w:rFonts w:ascii="Arial" w:eastAsia="Calibri" w:hAnsi="Arial" w:cs="Arial"/>
          <w:i/>
          <w:iCs/>
          <w:color w:val="000000"/>
          <w:szCs w:val="22"/>
          <w:lang w:val="es-CR" w:eastAsia="es-CR"/>
        </w:rPr>
        <w:t>Composición de las Carteras de Fondos de Inversión Inmobiliario,</w:t>
      </w:r>
      <w:r w:rsidRPr="00F87CD2">
        <w:rPr>
          <w:rFonts w:ascii="Arial" w:eastAsia="Calibri" w:hAnsi="Arial" w:cs="Arial"/>
          <w:color w:val="000000"/>
          <w:szCs w:val="22"/>
          <w:lang w:val="es-CR" w:eastAsia="es-CR"/>
        </w:rPr>
        <w:t xml:space="preserve"> </w:t>
      </w:r>
      <w:r w:rsidRPr="00F87CD2">
        <w:rPr>
          <w:rFonts w:ascii="Arial" w:eastAsia="Calibri" w:hAnsi="Arial" w:cs="Arial"/>
          <w:szCs w:val="22"/>
        </w:rPr>
        <w:t>los archivos No.1 y No.2.</w:t>
      </w:r>
    </w:p>
    <w:p w14:paraId="04507F91" w14:textId="77777777" w:rsidR="00F87CD2" w:rsidRPr="00F87CD2" w:rsidRDefault="00F87CD2" w:rsidP="00F87CD2">
      <w:pPr>
        <w:jc w:val="both"/>
        <w:rPr>
          <w:rFonts w:ascii="Arial" w:eastAsia="Calibri" w:hAnsi="Arial" w:cs="Arial"/>
          <w:szCs w:val="22"/>
        </w:rPr>
      </w:pPr>
    </w:p>
    <w:p w14:paraId="1F3A9799" w14:textId="77777777" w:rsidR="00F87CD2" w:rsidRPr="00F87CD2" w:rsidRDefault="00F87CD2" w:rsidP="00F87CD2">
      <w:pPr>
        <w:ind w:left="360"/>
        <w:jc w:val="both"/>
        <w:rPr>
          <w:rFonts w:ascii="Arial" w:hAnsi="Arial" w:cs="Arial"/>
          <w:b/>
          <w:szCs w:val="22"/>
          <w:lang w:val="es-CR"/>
        </w:rPr>
      </w:pPr>
      <w:r w:rsidRPr="00F87CD2">
        <w:rPr>
          <w:rFonts w:ascii="Arial" w:hAnsi="Arial" w:cs="Arial"/>
          <w:b/>
          <w:szCs w:val="22"/>
          <w:lang w:val="es-CR"/>
        </w:rPr>
        <w:t>ARCHIVO No. 1 - PLANTILLA DE INMUEBLES</w:t>
      </w:r>
    </w:p>
    <w:p w14:paraId="25D68BB8" w14:textId="77777777" w:rsidR="00F87CD2" w:rsidRPr="00F87CD2" w:rsidRDefault="00F87CD2" w:rsidP="00F87CD2">
      <w:pPr>
        <w:jc w:val="both"/>
        <w:rPr>
          <w:rFonts w:ascii="Arial" w:hAnsi="Arial" w:cs="Arial"/>
          <w:szCs w:val="22"/>
          <w:lang w:val="es-CR"/>
        </w:rPr>
      </w:pPr>
    </w:p>
    <w:tbl>
      <w:tblPr>
        <w:tblW w:w="9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552"/>
        <w:gridCol w:w="2110"/>
        <w:gridCol w:w="2866"/>
      </w:tblGrid>
      <w:tr w:rsidR="00F87CD2" w:rsidRPr="00F87CD2" w14:paraId="49F3DA45" w14:textId="77777777" w:rsidTr="00F87CD2">
        <w:trPr>
          <w:trHeight w:val="372"/>
        </w:trPr>
        <w:tc>
          <w:tcPr>
            <w:tcW w:w="4853" w:type="dxa"/>
            <w:gridSpan w:val="2"/>
            <w:tcBorders>
              <w:top w:val="single" w:sz="4" w:space="0" w:color="auto"/>
              <w:left w:val="single" w:sz="4" w:space="0" w:color="auto"/>
              <w:bottom w:val="single" w:sz="4" w:space="0" w:color="auto"/>
              <w:right w:val="single" w:sz="4" w:space="0" w:color="auto"/>
            </w:tcBorders>
            <w:hideMark/>
          </w:tcPr>
          <w:p w14:paraId="32BAE218" w14:textId="77777777" w:rsidR="00F87CD2" w:rsidRPr="00F87CD2" w:rsidRDefault="00F87CD2">
            <w:pPr>
              <w:jc w:val="center"/>
              <w:rPr>
                <w:rFonts w:ascii="Arial" w:hAnsi="Arial" w:cs="Arial"/>
                <w:b/>
                <w:bCs/>
                <w:szCs w:val="22"/>
                <w:lang w:val="es-CR"/>
              </w:rPr>
            </w:pPr>
            <w:r w:rsidRPr="00F87CD2">
              <w:rPr>
                <w:rFonts w:ascii="Arial" w:hAnsi="Arial" w:cs="Arial"/>
                <w:b/>
                <w:bCs/>
                <w:szCs w:val="22"/>
                <w:lang w:val="es-CR"/>
              </w:rPr>
              <w:t>Vigente</w:t>
            </w:r>
          </w:p>
        </w:tc>
        <w:tc>
          <w:tcPr>
            <w:tcW w:w="4979" w:type="dxa"/>
            <w:gridSpan w:val="2"/>
            <w:tcBorders>
              <w:top w:val="single" w:sz="4" w:space="0" w:color="auto"/>
              <w:left w:val="single" w:sz="4" w:space="0" w:color="auto"/>
              <w:bottom w:val="single" w:sz="4" w:space="0" w:color="auto"/>
              <w:right w:val="single" w:sz="4" w:space="0" w:color="auto"/>
            </w:tcBorders>
            <w:hideMark/>
          </w:tcPr>
          <w:p w14:paraId="46807ACD" w14:textId="77777777" w:rsidR="00F87CD2" w:rsidRPr="00F87CD2" w:rsidRDefault="00F87CD2">
            <w:pPr>
              <w:jc w:val="center"/>
              <w:rPr>
                <w:rFonts w:ascii="Arial" w:hAnsi="Arial" w:cs="Arial"/>
                <w:b/>
                <w:bCs/>
                <w:szCs w:val="22"/>
                <w:lang w:val="es-CR"/>
              </w:rPr>
            </w:pPr>
            <w:r w:rsidRPr="00F87CD2">
              <w:rPr>
                <w:rFonts w:ascii="Arial" w:hAnsi="Arial" w:cs="Arial"/>
                <w:b/>
                <w:bCs/>
                <w:szCs w:val="22"/>
                <w:lang w:val="es-CR"/>
              </w:rPr>
              <w:t>Propuesto</w:t>
            </w:r>
          </w:p>
        </w:tc>
      </w:tr>
      <w:tr w:rsidR="00F87CD2" w:rsidRPr="00F87CD2" w14:paraId="08AA0D9C" w14:textId="77777777" w:rsidTr="00F87CD2">
        <w:trPr>
          <w:trHeight w:val="372"/>
        </w:trPr>
        <w:tc>
          <w:tcPr>
            <w:tcW w:w="2299" w:type="dxa"/>
            <w:tcBorders>
              <w:top w:val="single" w:sz="4" w:space="0" w:color="auto"/>
              <w:left w:val="single" w:sz="4" w:space="0" w:color="auto"/>
              <w:bottom w:val="single" w:sz="4" w:space="0" w:color="auto"/>
              <w:right w:val="single" w:sz="4" w:space="0" w:color="auto"/>
            </w:tcBorders>
            <w:hideMark/>
          </w:tcPr>
          <w:p w14:paraId="2B097411" w14:textId="77777777" w:rsidR="00F87CD2" w:rsidRPr="00F87CD2" w:rsidRDefault="00F87CD2">
            <w:pPr>
              <w:jc w:val="both"/>
              <w:rPr>
                <w:rFonts w:ascii="Arial" w:hAnsi="Arial" w:cs="Arial"/>
                <w:b/>
                <w:bCs/>
                <w:szCs w:val="22"/>
                <w:lang w:val="es-CR"/>
              </w:rPr>
            </w:pPr>
            <w:r w:rsidRPr="00F87CD2">
              <w:rPr>
                <w:rFonts w:ascii="Arial" w:hAnsi="Arial" w:cs="Arial"/>
                <w:b/>
                <w:bCs/>
                <w:szCs w:val="22"/>
                <w:lang w:val="es-CR"/>
              </w:rPr>
              <w:t>Nombre</w:t>
            </w:r>
          </w:p>
        </w:tc>
        <w:tc>
          <w:tcPr>
            <w:tcW w:w="2553" w:type="dxa"/>
            <w:tcBorders>
              <w:top w:val="single" w:sz="4" w:space="0" w:color="auto"/>
              <w:left w:val="single" w:sz="4" w:space="0" w:color="auto"/>
              <w:bottom w:val="single" w:sz="4" w:space="0" w:color="auto"/>
              <w:right w:val="single" w:sz="4" w:space="0" w:color="auto"/>
            </w:tcBorders>
            <w:hideMark/>
          </w:tcPr>
          <w:p w14:paraId="24B67257" w14:textId="77777777" w:rsidR="00F87CD2" w:rsidRPr="00F87CD2" w:rsidRDefault="00F87CD2">
            <w:pPr>
              <w:jc w:val="both"/>
              <w:rPr>
                <w:rFonts w:ascii="Arial" w:hAnsi="Arial" w:cs="Arial"/>
                <w:b/>
                <w:bCs/>
                <w:szCs w:val="22"/>
                <w:lang w:val="es-CR"/>
              </w:rPr>
            </w:pPr>
            <w:r w:rsidRPr="00F87CD2">
              <w:rPr>
                <w:rFonts w:ascii="Arial" w:hAnsi="Arial" w:cs="Arial"/>
                <w:b/>
                <w:bCs/>
                <w:szCs w:val="22"/>
                <w:lang w:val="es-CR"/>
              </w:rPr>
              <w:t xml:space="preserve">Descripción </w:t>
            </w:r>
          </w:p>
        </w:tc>
        <w:tc>
          <w:tcPr>
            <w:tcW w:w="2111" w:type="dxa"/>
            <w:tcBorders>
              <w:top w:val="single" w:sz="4" w:space="0" w:color="auto"/>
              <w:left w:val="single" w:sz="4" w:space="0" w:color="auto"/>
              <w:bottom w:val="single" w:sz="4" w:space="0" w:color="auto"/>
              <w:right w:val="single" w:sz="4" w:space="0" w:color="auto"/>
            </w:tcBorders>
            <w:hideMark/>
          </w:tcPr>
          <w:p w14:paraId="064D35FF" w14:textId="77777777" w:rsidR="00F87CD2" w:rsidRPr="00F87CD2" w:rsidRDefault="00F87CD2">
            <w:pPr>
              <w:jc w:val="both"/>
              <w:rPr>
                <w:rFonts w:ascii="Arial" w:hAnsi="Arial" w:cs="Arial"/>
                <w:b/>
                <w:bCs/>
                <w:szCs w:val="22"/>
                <w:lang w:val="es-CR"/>
              </w:rPr>
            </w:pPr>
            <w:r w:rsidRPr="00F87CD2">
              <w:rPr>
                <w:rFonts w:ascii="Arial" w:hAnsi="Arial" w:cs="Arial"/>
                <w:b/>
                <w:bCs/>
                <w:szCs w:val="22"/>
                <w:lang w:val="es-CR"/>
              </w:rPr>
              <w:t>Nombre</w:t>
            </w:r>
          </w:p>
        </w:tc>
        <w:tc>
          <w:tcPr>
            <w:tcW w:w="2868" w:type="dxa"/>
            <w:tcBorders>
              <w:top w:val="single" w:sz="4" w:space="0" w:color="auto"/>
              <w:left w:val="single" w:sz="4" w:space="0" w:color="auto"/>
              <w:bottom w:val="single" w:sz="4" w:space="0" w:color="auto"/>
              <w:right w:val="single" w:sz="4" w:space="0" w:color="auto"/>
            </w:tcBorders>
            <w:hideMark/>
          </w:tcPr>
          <w:p w14:paraId="5B1D2890" w14:textId="77777777" w:rsidR="00F87CD2" w:rsidRPr="00F87CD2" w:rsidRDefault="00F87CD2">
            <w:pPr>
              <w:jc w:val="both"/>
              <w:rPr>
                <w:rFonts w:ascii="Arial" w:hAnsi="Arial" w:cs="Arial"/>
                <w:b/>
                <w:bCs/>
                <w:szCs w:val="22"/>
                <w:lang w:val="es-CR"/>
              </w:rPr>
            </w:pPr>
            <w:r w:rsidRPr="00F87CD2">
              <w:rPr>
                <w:rFonts w:ascii="Arial" w:hAnsi="Arial" w:cs="Arial"/>
                <w:b/>
                <w:bCs/>
                <w:szCs w:val="22"/>
                <w:lang w:val="es-CR"/>
              </w:rPr>
              <w:t xml:space="preserve">Descripción </w:t>
            </w:r>
          </w:p>
        </w:tc>
      </w:tr>
      <w:tr w:rsidR="00F87CD2" w:rsidRPr="00F87CD2" w14:paraId="15A652CF" w14:textId="77777777" w:rsidTr="00F87CD2">
        <w:trPr>
          <w:trHeight w:val="1018"/>
        </w:trPr>
        <w:tc>
          <w:tcPr>
            <w:tcW w:w="2299" w:type="dxa"/>
            <w:tcBorders>
              <w:top w:val="single" w:sz="4" w:space="0" w:color="auto"/>
              <w:left w:val="single" w:sz="4" w:space="0" w:color="auto"/>
              <w:bottom w:val="single" w:sz="4" w:space="0" w:color="auto"/>
              <w:right w:val="single" w:sz="4" w:space="0" w:color="auto"/>
            </w:tcBorders>
            <w:hideMark/>
          </w:tcPr>
          <w:p w14:paraId="7ED8BF5B" w14:textId="77777777" w:rsidR="00F87CD2" w:rsidRPr="00F87CD2" w:rsidRDefault="00F87CD2">
            <w:pPr>
              <w:jc w:val="both"/>
              <w:rPr>
                <w:rFonts w:ascii="Arial" w:hAnsi="Arial" w:cs="Arial"/>
                <w:szCs w:val="22"/>
                <w:lang w:val="es-CR"/>
              </w:rPr>
            </w:pPr>
            <w:r w:rsidRPr="00F87CD2">
              <w:rPr>
                <w:rFonts w:ascii="Arial" w:hAnsi="Arial" w:cs="Arial"/>
                <w:szCs w:val="22"/>
                <w:lang w:val="es-CR"/>
              </w:rPr>
              <w:t xml:space="preserve">5 </w:t>
            </w:r>
            <w:proofErr w:type="gramStart"/>
            <w:r w:rsidRPr="00F87CD2">
              <w:rPr>
                <w:rFonts w:ascii="Arial" w:hAnsi="Arial" w:cs="Arial"/>
                <w:szCs w:val="22"/>
                <w:lang w:val="es-CR"/>
              </w:rPr>
              <w:t>Mejoras</w:t>
            </w:r>
            <w:proofErr w:type="gramEnd"/>
            <w:r w:rsidRPr="00F87CD2">
              <w:rPr>
                <w:rFonts w:ascii="Arial" w:hAnsi="Arial" w:cs="Arial"/>
                <w:szCs w:val="22"/>
                <w:lang w:val="es-CR"/>
              </w:rPr>
              <w:t xml:space="preserve"> capitalizadas</w:t>
            </w:r>
          </w:p>
        </w:tc>
        <w:tc>
          <w:tcPr>
            <w:tcW w:w="2553" w:type="dxa"/>
            <w:tcBorders>
              <w:top w:val="single" w:sz="4" w:space="0" w:color="auto"/>
              <w:left w:val="single" w:sz="4" w:space="0" w:color="auto"/>
              <w:bottom w:val="single" w:sz="4" w:space="0" w:color="auto"/>
              <w:right w:val="single" w:sz="4" w:space="0" w:color="auto"/>
            </w:tcBorders>
          </w:tcPr>
          <w:p w14:paraId="5C321445" w14:textId="77777777" w:rsidR="00F87CD2" w:rsidRPr="00F87CD2" w:rsidRDefault="00F87CD2">
            <w:pPr>
              <w:jc w:val="both"/>
              <w:rPr>
                <w:rFonts w:ascii="Arial" w:hAnsi="Arial" w:cs="Arial"/>
                <w:szCs w:val="22"/>
                <w:lang w:val="es-CR"/>
              </w:rPr>
            </w:pPr>
            <w:r w:rsidRPr="00F87CD2">
              <w:rPr>
                <w:rFonts w:ascii="Arial" w:hAnsi="Arial" w:cs="Arial"/>
                <w:szCs w:val="22"/>
                <w:lang w:val="es-CR"/>
              </w:rPr>
              <w:t>Monto de reparaciones, remodelaciones y mejoras realizadas al inmueble.</w:t>
            </w:r>
          </w:p>
          <w:p w14:paraId="084091FB" w14:textId="77777777" w:rsidR="00F87CD2" w:rsidRPr="00F87CD2" w:rsidRDefault="00F87CD2">
            <w:pPr>
              <w:jc w:val="both"/>
              <w:rPr>
                <w:rFonts w:ascii="Arial" w:hAnsi="Arial" w:cs="Arial"/>
                <w:szCs w:val="22"/>
                <w:lang w:val="es-CR"/>
              </w:rPr>
            </w:pPr>
          </w:p>
        </w:tc>
        <w:tc>
          <w:tcPr>
            <w:tcW w:w="2111" w:type="dxa"/>
            <w:tcBorders>
              <w:top w:val="single" w:sz="4" w:space="0" w:color="auto"/>
              <w:left w:val="single" w:sz="4" w:space="0" w:color="auto"/>
              <w:bottom w:val="single" w:sz="4" w:space="0" w:color="auto"/>
              <w:right w:val="single" w:sz="4" w:space="0" w:color="auto"/>
            </w:tcBorders>
            <w:hideMark/>
          </w:tcPr>
          <w:p w14:paraId="302D07C7" w14:textId="77777777" w:rsidR="00F87CD2" w:rsidRPr="00F87CD2" w:rsidRDefault="00F87CD2">
            <w:pPr>
              <w:jc w:val="both"/>
              <w:rPr>
                <w:rFonts w:ascii="Arial" w:hAnsi="Arial" w:cs="Arial"/>
                <w:szCs w:val="22"/>
                <w:lang w:val="es-CR"/>
              </w:rPr>
            </w:pPr>
            <w:r w:rsidRPr="00F87CD2">
              <w:rPr>
                <w:rFonts w:ascii="Arial" w:hAnsi="Arial" w:cs="Arial"/>
                <w:b/>
                <w:bCs/>
                <w:color w:val="1F4E79"/>
                <w:szCs w:val="22"/>
                <w:lang w:val="es-CR"/>
              </w:rPr>
              <w:t xml:space="preserve">5 </w:t>
            </w:r>
            <w:proofErr w:type="gramStart"/>
            <w:r w:rsidRPr="00F87CD2">
              <w:rPr>
                <w:rFonts w:ascii="Arial" w:hAnsi="Arial" w:cs="Arial"/>
                <w:b/>
                <w:bCs/>
                <w:color w:val="1F4E79"/>
                <w:szCs w:val="22"/>
                <w:lang w:val="es-CR"/>
              </w:rPr>
              <w:t>Monto</w:t>
            </w:r>
            <w:proofErr w:type="gramEnd"/>
            <w:r w:rsidRPr="00F87CD2">
              <w:rPr>
                <w:rFonts w:ascii="Arial" w:hAnsi="Arial" w:cs="Arial"/>
                <w:b/>
                <w:bCs/>
                <w:color w:val="1F4E79"/>
                <w:szCs w:val="22"/>
                <w:lang w:val="es-CR"/>
              </w:rPr>
              <w:t xml:space="preserve"> </w:t>
            </w:r>
            <w:r w:rsidRPr="00F87CD2">
              <w:rPr>
                <w:rFonts w:ascii="Arial" w:hAnsi="Arial" w:cs="Arial"/>
                <w:szCs w:val="22"/>
                <w:lang w:val="es-CR"/>
              </w:rPr>
              <w:t>de Mejoras capitalizadas</w:t>
            </w:r>
          </w:p>
        </w:tc>
        <w:tc>
          <w:tcPr>
            <w:tcW w:w="2868" w:type="dxa"/>
            <w:tcBorders>
              <w:top w:val="single" w:sz="4" w:space="0" w:color="auto"/>
              <w:left w:val="single" w:sz="4" w:space="0" w:color="auto"/>
              <w:bottom w:val="single" w:sz="4" w:space="0" w:color="auto"/>
              <w:right w:val="single" w:sz="4" w:space="0" w:color="auto"/>
            </w:tcBorders>
            <w:hideMark/>
          </w:tcPr>
          <w:p w14:paraId="4A901C9B" w14:textId="77777777" w:rsidR="00F87CD2" w:rsidRPr="00F87CD2" w:rsidRDefault="00F87CD2">
            <w:pPr>
              <w:jc w:val="both"/>
              <w:rPr>
                <w:rFonts w:ascii="Arial" w:hAnsi="Arial" w:cs="Arial"/>
                <w:szCs w:val="22"/>
                <w:lang w:val="es-CR"/>
              </w:rPr>
            </w:pPr>
            <w:r w:rsidRPr="00F87CD2">
              <w:rPr>
                <w:rFonts w:ascii="Arial" w:hAnsi="Arial" w:cs="Arial"/>
                <w:szCs w:val="22"/>
                <w:lang w:val="es-CR"/>
              </w:rPr>
              <w:t>Monto de reparaciones, remodelaciones y mejoras realizadas al inmueble.</w:t>
            </w:r>
          </w:p>
        </w:tc>
      </w:tr>
      <w:tr w:rsidR="00F87CD2" w:rsidRPr="00F87CD2" w14:paraId="1EA278CB" w14:textId="77777777" w:rsidTr="00F87CD2">
        <w:trPr>
          <w:trHeight w:val="155"/>
        </w:trPr>
        <w:tc>
          <w:tcPr>
            <w:tcW w:w="2299" w:type="dxa"/>
            <w:tcBorders>
              <w:top w:val="single" w:sz="4" w:space="0" w:color="auto"/>
              <w:left w:val="single" w:sz="4" w:space="0" w:color="auto"/>
              <w:bottom w:val="single" w:sz="4" w:space="0" w:color="auto"/>
              <w:right w:val="single" w:sz="4" w:space="0" w:color="auto"/>
            </w:tcBorders>
            <w:hideMark/>
          </w:tcPr>
          <w:p w14:paraId="28C38347" w14:textId="77777777" w:rsidR="00F87CD2" w:rsidRPr="00F87CD2" w:rsidRDefault="00F87CD2">
            <w:pPr>
              <w:jc w:val="both"/>
              <w:rPr>
                <w:rFonts w:ascii="Arial" w:hAnsi="Arial" w:cs="Arial"/>
                <w:bCs/>
                <w:szCs w:val="22"/>
                <w:lang w:val="es-CR"/>
              </w:rPr>
            </w:pPr>
            <w:r w:rsidRPr="00F87CD2">
              <w:rPr>
                <w:rFonts w:ascii="Arial" w:hAnsi="Arial" w:cs="Arial"/>
                <w:bCs/>
                <w:szCs w:val="22"/>
                <w:lang w:val="es-CR"/>
              </w:rPr>
              <w:t xml:space="preserve">7 </w:t>
            </w:r>
            <w:proofErr w:type="gramStart"/>
            <w:r w:rsidRPr="00F87CD2">
              <w:rPr>
                <w:rFonts w:ascii="Arial" w:hAnsi="Arial" w:cs="Arial"/>
                <w:bCs/>
                <w:szCs w:val="22"/>
                <w:lang w:val="es-CR"/>
              </w:rPr>
              <w:t>Valor</w:t>
            </w:r>
            <w:proofErr w:type="gramEnd"/>
            <w:r w:rsidRPr="00F87CD2">
              <w:rPr>
                <w:rFonts w:ascii="Arial" w:hAnsi="Arial" w:cs="Arial"/>
                <w:bCs/>
                <w:szCs w:val="22"/>
                <w:lang w:val="es-CR"/>
              </w:rPr>
              <w:t xml:space="preserve"> en libros </w:t>
            </w:r>
          </w:p>
        </w:tc>
        <w:tc>
          <w:tcPr>
            <w:tcW w:w="2553" w:type="dxa"/>
            <w:tcBorders>
              <w:top w:val="single" w:sz="4" w:space="0" w:color="auto"/>
              <w:left w:val="single" w:sz="4" w:space="0" w:color="auto"/>
              <w:bottom w:val="single" w:sz="4" w:space="0" w:color="auto"/>
              <w:right w:val="single" w:sz="4" w:space="0" w:color="auto"/>
            </w:tcBorders>
            <w:hideMark/>
          </w:tcPr>
          <w:p w14:paraId="6F8FF77B" w14:textId="77777777" w:rsidR="00F87CD2" w:rsidRPr="00F87CD2" w:rsidRDefault="00F87CD2">
            <w:pPr>
              <w:jc w:val="both"/>
              <w:rPr>
                <w:rFonts w:ascii="Arial" w:hAnsi="Arial" w:cs="Arial"/>
                <w:bCs/>
                <w:szCs w:val="22"/>
                <w:lang w:val="es-CR"/>
              </w:rPr>
            </w:pPr>
            <w:r w:rsidRPr="00F87CD2">
              <w:rPr>
                <w:rFonts w:ascii="Arial" w:hAnsi="Arial" w:cs="Arial"/>
                <w:bCs/>
                <w:szCs w:val="22"/>
                <w:lang w:val="es-CR"/>
              </w:rPr>
              <w:t xml:space="preserve">Valor en libros del inmueble a la fecha valor de la cartera.  </w:t>
            </w:r>
          </w:p>
          <w:p w14:paraId="01162ED6" w14:textId="77777777" w:rsidR="00F87CD2" w:rsidRPr="00F87CD2" w:rsidRDefault="00F87CD2">
            <w:pPr>
              <w:jc w:val="both"/>
              <w:rPr>
                <w:rFonts w:ascii="Arial" w:hAnsi="Arial" w:cs="Arial"/>
                <w:bCs/>
                <w:szCs w:val="22"/>
                <w:lang w:val="es-CR"/>
              </w:rPr>
            </w:pPr>
            <w:r w:rsidRPr="00F87CD2">
              <w:rPr>
                <w:rFonts w:ascii="Arial" w:hAnsi="Arial" w:cs="Arial"/>
                <w:bCs/>
                <w:szCs w:val="22"/>
                <w:lang w:val="es-CR"/>
              </w:rPr>
              <w:t>Corresponde a la sumatoria del valor de adquisición, Estimación por valuación a valor razonable, Deterioro de Activos, Mejoras capitalizadas y Ampliaciones Capitalizadas (suma 2,3,4,5 y 6).</w:t>
            </w:r>
          </w:p>
        </w:tc>
        <w:tc>
          <w:tcPr>
            <w:tcW w:w="2111" w:type="dxa"/>
            <w:tcBorders>
              <w:top w:val="single" w:sz="4" w:space="0" w:color="auto"/>
              <w:left w:val="single" w:sz="4" w:space="0" w:color="auto"/>
              <w:bottom w:val="single" w:sz="4" w:space="0" w:color="auto"/>
              <w:right w:val="single" w:sz="4" w:space="0" w:color="auto"/>
            </w:tcBorders>
            <w:hideMark/>
          </w:tcPr>
          <w:p w14:paraId="4B0F72AD" w14:textId="77777777" w:rsidR="00F87CD2" w:rsidRPr="00F87CD2" w:rsidRDefault="00F87CD2">
            <w:pPr>
              <w:jc w:val="both"/>
              <w:rPr>
                <w:rFonts w:ascii="Arial" w:hAnsi="Arial" w:cs="Arial"/>
                <w:b/>
                <w:color w:val="002060"/>
                <w:szCs w:val="22"/>
                <w:u w:val="single"/>
                <w:lang w:val="es-CR"/>
              </w:rPr>
            </w:pPr>
            <w:r w:rsidRPr="00F87CD2">
              <w:rPr>
                <w:rFonts w:ascii="Arial" w:hAnsi="Arial" w:cs="Arial"/>
                <w:szCs w:val="22"/>
                <w:lang w:val="es-CR"/>
              </w:rPr>
              <w:t xml:space="preserve">7 </w:t>
            </w:r>
            <w:proofErr w:type="gramStart"/>
            <w:r w:rsidRPr="00F87CD2">
              <w:rPr>
                <w:rFonts w:ascii="Arial" w:hAnsi="Arial" w:cs="Arial"/>
                <w:szCs w:val="22"/>
                <w:lang w:val="es-CR"/>
              </w:rPr>
              <w:t>Valor</w:t>
            </w:r>
            <w:proofErr w:type="gramEnd"/>
            <w:r w:rsidRPr="00F87CD2">
              <w:rPr>
                <w:rFonts w:ascii="Arial" w:hAnsi="Arial" w:cs="Arial"/>
                <w:szCs w:val="22"/>
                <w:lang w:val="es-CR"/>
              </w:rPr>
              <w:t xml:space="preserve"> en libros </w:t>
            </w:r>
          </w:p>
        </w:tc>
        <w:tc>
          <w:tcPr>
            <w:tcW w:w="2868" w:type="dxa"/>
            <w:tcBorders>
              <w:top w:val="single" w:sz="4" w:space="0" w:color="auto"/>
              <w:left w:val="single" w:sz="4" w:space="0" w:color="auto"/>
              <w:bottom w:val="single" w:sz="4" w:space="0" w:color="auto"/>
              <w:right w:val="single" w:sz="4" w:space="0" w:color="auto"/>
            </w:tcBorders>
            <w:hideMark/>
          </w:tcPr>
          <w:p w14:paraId="2AAF33C3" w14:textId="77777777" w:rsidR="00F87CD2" w:rsidRPr="00F87CD2" w:rsidRDefault="00F87CD2">
            <w:pPr>
              <w:jc w:val="both"/>
              <w:rPr>
                <w:rFonts w:ascii="Arial" w:hAnsi="Arial" w:cs="Arial"/>
                <w:szCs w:val="22"/>
                <w:lang w:val="es-CR"/>
              </w:rPr>
            </w:pPr>
            <w:r w:rsidRPr="00F87CD2">
              <w:rPr>
                <w:rFonts w:ascii="Arial" w:hAnsi="Arial" w:cs="Arial"/>
                <w:szCs w:val="22"/>
                <w:lang w:val="es-CR"/>
              </w:rPr>
              <w:t xml:space="preserve">Valor en libros del inmueble a la fecha valor de la cartera.  </w:t>
            </w:r>
          </w:p>
          <w:p w14:paraId="1E6187C6" w14:textId="77777777" w:rsidR="00F87CD2" w:rsidRPr="00F87CD2" w:rsidRDefault="00F87CD2">
            <w:pPr>
              <w:jc w:val="both"/>
              <w:rPr>
                <w:rFonts w:ascii="Arial" w:hAnsi="Arial" w:cs="Arial"/>
                <w:b/>
                <w:color w:val="002060"/>
                <w:szCs w:val="22"/>
                <w:u w:val="single"/>
                <w:lang w:val="es-CR"/>
              </w:rPr>
            </w:pPr>
            <w:r w:rsidRPr="00F87CD2">
              <w:rPr>
                <w:rFonts w:ascii="Arial" w:hAnsi="Arial" w:cs="Arial"/>
                <w:szCs w:val="22"/>
                <w:lang w:val="es-CR"/>
              </w:rPr>
              <w:t xml:space="preserve">Corresponde a la sumatoria del valor de adquisición, estimación por valuación a valor razonable, </w:t>
            </w:r>
            <w:r w:rsidRPr="00F87CD2">
              <w:rPr>
                <w:rFonts w:ascii="Arial" w:hAnsi="Arial" w:cs="Arial"/>
                <w:b/>
                <w:bCs/>
                <w:color w:val="1F4E79"/>
                <w:szCs w:val="22"/>
                <w:lang w:val="es-CR"/>
              </w:rPr>
              <w:t>mejoras, ampliaciones capitalizadas y deterioro.</w:t>
            </w:r>
          </w:p>
        </w:tc>
      </w:tr>
    </w:tbl>
    <w:p w14:paraId="5A00D09F" w14:textId="77777777" w:rsidR="00F87CD2" w:rsidRPr="00F87CD2" w:rsidRDefault="00F87CD2" w:rsidP="00F87CD2">
      <w:pPr>
        <w:ind w:left="1080"/>
        <w:jc w:val="both"/>
        <w:rPr>
          <w:rFonts w:ascii="Arial" w:hAnsi="Arial" w:cs="Arial"/>
          <w:b/>
          <w:bCs/>
          <w:szCs w:val="22"/>
          <w:lang w:eastAsia="en-US"/>
        </w:rPr>
      </w:pPr>
    </w:p>
    <w:p w14:paraId="6C504B89" w14:textId="77777777" w:rsidR="00F87CD2" w:rsidRPr="00F87CD2" w:rsidRDefault="00F87CD2" w:rsidP="00F87CD2">
      <w:pPr>
        <w:tabs>
          <w:tab w:val="left" w:pos="4350"/>
        </w:tabs>
        <w:jc w:val="both"/>
        <w:rPr>
          <w:rFonts w:ascii="Arial" w:hAnsi="Arial" w:cs="Arial"/>
          <w:szCs w:val="22"/>
          <w:lang w:val="es-CR"/>
        </w:rPr>
      </w:pPr>
    </w:p>
    <w:p w14:paraId="5F6EB690" w14:textId="77777777" w:rsidR="00F87CD2" w:rsidRPr="00F87CD2" w:rsidRDefault="00F87CD2" w:rsidP="00F87CD2">
      <w:pPr>
        <w:tabs>
          <w:tab w:val="left" w:pos="4350"/>
        </w:tabs>
        <w:jc w:val="both"/>
        <w:rPr>
          <w:rFonts w:ascii="Arial" w:hAnsi="Arial" w:cs="Arial"/>
          <w:szCs w:val="22"/>
          <w:lang w:val="es-CR"/>
        </w:rPr>
      </w:pPr>
    </w:p>
    <w:p w14:paraId="355E8C74" w14:textId="77777777" w:rsidR="00F87CD2" w:rsidRPr="00F87CD2" w:rsidRDefault="00F87CD2" w:rsidP="00F87CD2">
      <w:pPr>
        <w:ind w:left="360"/>
        <w:jc w:val="both"/>
        <w:rPr>
          <w:rFonts w:ascii="Arial" w:hAnsi="Arial" w:cs="Arial"/>
          <w:b/>
          <w:szCs w:val="22"/>
          <w:lang w:val="es-CR"/>
        </w:rPr>
      </w:pPr>
      <w:r w:rsidRPr="00F87CD2">
        <w:rPr>
          <w:rFonts w:ascii="Arial" w:hAnsi="Arial" w:cs="Arial"/>
          <w:szCs w:val="22"/>
          <w:lang w:val="es-CR"/>
        </w:rPr>
        <w:tab/>
      </w:r>
      <w:r w:rsidRPr="00F87CD2">
        <w:rPr>
          <w:rFonts w:ascii="Arial" w:hAnsi="Arial" w:cs="Arial"/>
          <w:b/>
          <w:szCs w:val="22"/>
          <w:lang w:val="es-CR"/>
        </w:rPr>
        <w:t>ARCHIVO No. 2 - PLANTILLA DE INQUILINOS</w:t>
      </w:r>
    </w:p>
    <w:p w14:paraId="073F0554" w14:textId="77777777" w:rsidR="00F87CD2" w:rsidRPr="00F87CD2" w:rsidRDefault="00F87CD2" w:rsidP="00F87CD2">
      <w:pPr>
        <w:ind w:left="360"/>
        <w:jc w:val="both"/>
        <w:rPr>
          <w:rFonts w:ascii="Arial" w:hAnsi="Arial" w:cs="Arial"/>
          <w:b/>
          <w:szCs w:val="22"/>
          <w:lang w:val="es-CR"/>
        </w:rPr>
      </w:pPr>
    </w:p>
    <w:tbl>
      <w:tblPr>
        <w:tblW w:w="984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6"/>
        <w:gridCol w:w="2726"/>
        <w:gridCol w:w="85"/>
        <w:gridCol w:w="2044"/>
        <w:gridCol w:w="2939"/>
      </w:tblGrid>
      <w:tr w:rsidR="00F87CD2" w:rsidRPr="00F87CD2" w14:paraId="17CBC904" w14:textId="77777777" w:rsidTr="00F87CD2">
        <w:trPr>
          <w:trHeight w:val="365"/>
        </w:trPr>
        <w:tc>
          <w:tcPr>
            <w:tcW w:w="4768" w:type="dxa"/>
            <w:gridSpan w:val="2"/>
            <w:tcBorders>
              <w:top w:val="single" w:sz="4" w:space="0" w:color="auto"/>
              <w:left w:val="single" w:sz="4" w:space="0" w:color="auto"/>
              <w:bottom w:val="single" w:sz="4" w:space="0" w:color="auto"/>
              <w:right w:val="single" w:sz="4" w:space="0" w:color="auto"/>
            </w:tcBorders>
            <w:hideMark/>
          </w:tcPr>
          <w:p w14:paraId="17BC0A0F" w14:textId="77777777" w:rsidR="00F87CD2" w:rsidRPr="00F87CD2" w:rsidRDefault="00F87CD2">
            <w:pPr>
              <w:jc w:val="center"/>
              <w:rPr>
                <w:rFonts w:ascii="Arial" w:hAnsi="Arial" w:cs="Arial"/>
                <w:b/>
                <w:bCs/>
                <w:szCs w:val="22"/>
                <w:lang w:val="es-CR"/>
              </w:rPr>
            </w:pPr>
            <w:r w:rsidRPr="00F87CD2">
              <w:rPr>
                <w:rFonts w:ascii="Arial" w:hAnsi="Arial" w:cs="Arial"/>
                <w:b/>
                <w:bCs/>
                <w:szCs w:val="22"/>
                <w:lang w:val="es-CR"/>
              </w:rPr>
              <w:t>Vigente</w:t>
            </w:r>
          </w:p>
        </w:tc>
        <w:tc>
          <w:tcPr>
            <w:tcW w:w="5065" w:type="dxa"/>
            <w:gridSpan w:val="3"/>
            <w:tcBorders>
              <w:top w:val="single" w:sz="4" w:space="0" w:color="auto"/>
              <w:left w:val="single" w:sz="4" w:space="0" w:color="auto"/>
              <w:bottom w:val="single" w:sz="4" w:space="0" w:color="auto"/>
              <w:right w:val="single" w:sz="4" w:space="0" w:color="auto"/>
            </w:tcBorders>
            <w:hideMark/>
          </w:tcPr>
          <w:p w14:paraId="23DAB12D" w14:textId="77777777" w:rsidR="00F87CD2" w:rsidRPr="00F87CD2" w:rsidRDefault="00F87CD2">
            <w:pPr>
              <w:jc w:val="center"/>
              <w:rPr>
                <w:rFonts w:ascii="Arial" w:hAnsi="Arial" w:cs="Arial"/>
                <w:b/>
                <w:bCs/>
                <w:szCs w:val="22"/>
                <w:lang w:val="es-CR"/>
              </w:rPr>
            </w:pPr>
            <w:r w:rsidRPr="00F87CD2">
              <w:rPr>
                <w:rFonts w:ascii="Arial" w:hAnsi="Arial" w:cs="Arial"/>
                <w:b/>
                <w:bCs/>
                <w:szCs w:val="22"/>
                <w:lang w:val="es-CR"/>
              </w:rPr>
              <w:t>Propuesto</w:t>
            </w:r>
          </w:p>
        </w:tc>
      </w:tr>
      <w:tr w:rsidR="00F87CD2" w:rsidRPr="00F87CD2" w14:paraId="30228783" w14:textId="77777777" w:rsidTr="00F87CD2">
        <w:trPr>
          <w:trHeight w:val="249"/>
        </w:trPr>
        <w:tc>
          <w:tcPr>
            <w:tcW w:w="2044" w:type="dxa"/>
            <w:tcBorders>
              <w:top w:val="single" w:sz="4" w:space="0" w:color="auto"/>
              <w:left w:val="single" w:sz="4" w:space="0" w:color="auto"/>
              <w:bottom w:val="single" w:sz="4" w:space="0" w:color="auto"/>
              <w:right w:val="single" w:sz="4" w:space="0" w:color="auto"/>
            </w:tcBorders>
            <w:hideMark/>
          </w:tcPr>
          <w:p w14:paraId="7FEB64BB" w14:textId="77777777" w:rsidR="00F87CD2" w:rsidRPr="00F87CD2" w:rsidRDefault="00F87CD2">
            <w:pPr>
              <w:jc w:val="both"/>
              <w:rPr>
                <w:rFonts w:ascii="Arial" w:hAnsi="Arial" w:cs="Arial"/>
                <w:b/>
                <w:bCs/>
                <w:szCs w:val="22"/>
                <w:lang w:val="es-CR"/>
              </w:rPr>
            </w:pPr>
            <w:r w:rsidRPr="00F87CD2">
              <w:rPr>
                <w:rFonts w:ascii="Arial" w:hAnsi="Arial" w:cs="Arial"/>
                <w:b/>
                <w:bCs/>
                <w:szCs w:val="22"/>
                <w:lang w:val="es-CR"/>
              </w:rPr>
              <w:t>Nombre</w:t>
            </w:r>
          </w:p>
        </w:tc>
        <w:tc>
          <w:tcPr>
            <w:tcW w:w="2809" w:type="dxa"/>
            <w:gridSpan w:val="2"/>
            <w:tcBorders>
              <w:top w:val="single" w:sz="4" w:space="0" w:color="auto"/>
              <w:left w:val="single" w:sz="4" w:space="0" w:color="auto"/>
              <w:bottom w:val="single" w:sz="4" w:space="0" w:color="auto"/>
              <w:right w:val="single" w:sz="4" w:space="0" w:color="auto"/>
            </w:tcBorders>
            <w:hideMark/>
          </w:tcPr>
          <w:p w14:paraId="048468AD" w14:textId="77777777" w:rsidR="00F87CD2" w:rsidRPr="00F87CD2" w:rsidRDefault="00F87CD2">
            <w:pPr>
              <w:jc w:val="both"/>
              <w:rPr>
                <w:rFonts w:ascii="Arial" w:hAnsi="Arial" w:cs="Arial"/>
                <w:b/>
                <w:bCs/>
                <w:szCs w:val="22"/>
                <w:lang w:val="es-CR"/>
              </w:rPr>
            </w:pPr>
            <w:r w:rsidRPr="00F87CD2">
              <w:rPr>
                <w:rFonts w:ascii="Arial" w:hAnsi="Arial" w:cs="Arial"/>
                <w:b/>
                <w:bCs/>
                <w:szCs w:val="22"/>
                <w:lang w:val="es-CR"/>
              </w:rPr>
              <w:t xml:space="preserve">Descripción </w:t>
            </w:r>
          </w:p>
        </w:tc>
        <w:tc>
          <w:tcPr>
            <w:tcW w:w="2043" w:type="dxa"/>
            <w:tcBorders>
              <w:top w:val="single" w:sz="4" w:space="0" w:color="auto"/>
              <w:left w:val="single" w:sz="4" w:space="0" w:color="auto"/>
              <w:bottom w:val="single" w:sz="4" w:space="0" w:color="auto"/>
              <w:right w:val="single" w:sz="4" w:space="0" w:color="auto"/>
            </w:tcBorders>
            <w:hideMark/>
          </w:tcPr>
          <w:p w14:paraId="66B0695F" w14:textId="77777777" w:rsidR="00F87CD2" w:rsidRPr="00F87CD2" w:rsidRDefault="00F87CD2">
            <w:pPr>
              <w:jc w:val="both"/>
              <w:rPr>
                <w:rFonts w:ascii="Arial" w:hAnsi="Arial" w:cs="Arial"/>
                <w:b/>
                <w:bCs/>
                <w:szCs w:val="22"/>
                <w:lang w:val="es-CR"/>
              </w:rPr>
            </w:pPr>
            <w:r w:rsidRPr="00F87CD2">
              <w:rPr>
                <w:rFonts w:ascii="Arial" w:hAnsi="Arial" w:cs="Arial"/>
                <w:b/>
                <w:bCs/>
                <w:szCs w:val="22"/>
                <w:lang w:val="es-CR"/>
              </w:rPr>
              <w:t>Nombre</w:t>
            </w:r>
          </w:p>
        </w:tc>
        <w:tc>
          <w:tcPr>
            <w:tcW w:w="2936" w:type="dxa"/>
            <w:tcBorders>
              <w:top w:val="single" w:sz="4" w:space="0" w:color="auto"/>
              <w:left w:val="single" w:sz="4" w:space="0" w:color="auto"/>
              <w:bottom w:val="single" w:sz="4" w:space="0" w:color="auto"/>
              <w:right w:val="single" w:sz="4" w:space="0" w:color="auto"/>
            </w:tcBorders>
            <w:hideMark/>
          </w:tcPr>
          <w:p w14:paraId="18C74804" w14:textId="77777777" w:rsidR="00F87CD2" w:rsidRPr="00F87CD2" w:rsidRDefault="00F87CD2">
            <w:pPr>
              <w:jc w:val="both"/>
              <w:rPr>
                <w:rFonts w:ascii="Arial" w:hAnsi="Arial" w:cs="Arial"/>
                <w:b/>
                <w:bCs/>
                <w:szCs w:val="22"/>
                <w:lang w:val="es-CR"/>
              </w:rPr>
            </w:pPr>
            <w:r w:rsidRPr="00F87CD2">
              <w:rPr>
                <w:rFonts w:ascii="Arial" w:hAnsi="Arial" w:cs="Arial"/>
                <w:b/>
                <w:bCs/>
                <w:szCs w:val="22"/>
                <w:lang w:val="es-CR"/>
              </w:rPr>
              <w:t xml:space="preserve">Descripción </w:t>
            </w:r>
          </w:p>
        </w:tc>
      </w:tr>
      <w:tr w:rsidR="00F87CD2" w:rsidRPr="00F87CD2" w14:paraId="24AA1F2F" w14:textId="77777777" w:rsidTr="00F87CD2">
        <w:trPr>
          <w:trHeight w:val="987"/>
        </w:trPr>
        <w:tc>
          <w:tcPr>
            <w:tcW w:w="2044" w:type="dxa"/>
            <w:tcBorders>
              <w:top w:val="single" w:sz="4" w:space="0" w:color="auto"/>
              <w:left w:val="single" w:sz="4" w:space="0" w:color="auto"/>
              <w:bottom w:val="single" w:sz="4" w:space="0" w:color="auto"/>
              <w:right w:val="single" w:sz="4" w:space="0" w:color="auto"/>
            </w:tcBorders>
            <w:hideMark/>
          </w:tcPr>
          <w:p w14:paraId="37B58010" w14:textId="77777777" w:rsidR="00F87CD2" w:rsidRPr="00F87CD2" w:rsidRDefault="00F87CD2">
            <w:pPr>
              <w:jc w:val="both"/>
              <w:rPr>
                <w:rFonts w:ascii="Arial" w:hAnsi="Arial" w:cs="Arial"/>
                <w:szCs w:val="22"/>
                <w:lang w:val="es-CR"/>
              </w:rPr>
            </w:pPr>
            <w:r w:rsidRPr="00F87CD2">
              <w:rPr>
                <w:rFonts w:ascii="Arial" w:hAnsi="Arial" w:cs="Arial"/>
                <w:szCs w:val="22"/>
                <w:lang w:val="es-CR"/>
              </w:rPr>
              <w:t xml:space="preserve">3 </w:t>
            </w:r>
            <w:proofErr w:type="gramStart"/>
            <w:r w:rsidRPr="00F87CD2">
              <w:rPr>
                <w:rFonts w:ascii="Arial" w:hAnsi="Arial" w:cs="Arial"/>
                <w:szCs w:val="22"/>
                <w:lang w:val="es-CR"/>
              </w:rPr>
              <w:t>Monto</w:t>
            </w:r>
            <w:proofErr w:type="gramEnd"/>
            <w:r w:rsidRPr="00F87CD2">
              <w:rPr>
                <w:rFonts w:ascii="Arial" w:hAnsi="Arial" w:cs="Arial"/>
                <w:szCs w:val="22"/>
                <w:lang w:val="es-CR"/>
              </w:rPr>
              <w:t xml:space="preserve"> de la renta</w:t>
            </w:r>
          </w:p>
        </w:tc>
        <w:tc>
          <w:tcPr>
            <w:tcW w:w="2809" w:type="dxa"/>
            <w:gridSpan w:val="2"/>
            <w:tcBorders>
              <w:top w:val="single" w:sz="4" w:space="0" w:color="auto"/>
              <w:left w:val="single" w:sz="4" w:space="0" w:color="auto"/>
              <w:bottom w:val="single" w:sz="4" w:space="0" w:color="auto"/>
              <w:right w:val="single" w:sz="4" w:space="0" w:color="auto"/>
            </w:tcBorders>
            <w:hideMark/>
          </w:tcPr>
          <w:p w14:paraId="48FEA6A0" w14:textId="77777777" w:rsidR="00F87CD2" w:rsidRPr="00F87CD2" w:rsidRDefault="00F87CD2">
            <w:pPr>
              <w:jc w:val="both"/>
              <w:rPr>
                <w:rFonts w:ascii="Arial" w:hAnsi="Arial" w:cs="Arial"/>
                <w:szCs w:val="22"/>
                <w:lang w:val="es-CR"/>
              </w:rPr>
            </w:pPr>
            <w:r w:rsidRPr="00F87CD2">
              <w:rPr>
                <w:rFonts w:ascii="Arial" w:hAnsi="Arial" w:cs="Arial"/>
                <w:szCs w:val="22"/>
                <w:lang w:val="es-CR"/>
              </w:rPr>
              <w:t>Monto pagado por el inquilino por el arrendamiento durante el mes.</w:t>
            </w:r>
          </w:p>
        </w:tc>
        <w:tc>
          <w:tcPr>
            <w:tcW w:w="2043" w:type="dxa"/>
            <w:tcBorders>
              <w:top w:val="single" w:sz="4" w:space="0" w:color="auto"/>
              <w:left w:val="single" w:sz="4" w:space="0" w:color="auto"/>
              <w:bottom w:val="single" w:sz="4" w:space="0" w:color="auto"/>
              <w:right w:val="single" w:sz="4" w:space="0" w:color="auto"/>
            </w:tcBorders>
          </w:tcPr>
          <w:p w14:paraId="6C4B2688" w14:textId="77777777" w:rsidR="00F87CD2" w:rsidRPr="00F87CD2" w:rsidRDefault="00F87CD2">
            <w:pPr>
              <w:jc w:val="both"/>
              <w:rPr>
                <w:rFonts w:ascii="Arial" w:hAnsi="Arial" w:cs="Arial"/>
                <w:szCs w:val="22"/>
                <w:lang w:val="es-CR"/>
              </w:rPr>
            </w:pPr>
            <w:r w:rsidRPr="00F87CD2">
              <w:rPr>
                <w:rFonts w:ascii="Arial" w:hAnsi="Arial" w:cs="Arial"/>
                <w:szCs w:val="22"/>
                <w:lang w:val="es-CR"/>
              </w:rPr>
              <w:t xml:space="preserve">3 </w:t>
            </w:r>
            <w:proofErr w:type="gramStart"/>
            <w:r w:rsidRPr="00F87CD2">
              <w:rPr>
                <w:rFonts w:ascii="Arial" w:hAnsi="Arial" w:cs="Arial"/>
                <w:szCs w:val="22"/>
                <w:lang w:val="es-CR"/>
              </w:rPr>
              <w:t>Monto</w:t>
            </w:r>
            <w:proofErr w:type="gramEnd"/>
            <w:r w:rsidRPr="00F87CD2">
              <w:rPr>
                <w:rFonts w:ascii="Arial" w:hAnsi="Arial" w:cs="Arial"/>
                <w:szCs w:val="22"/>
                <w:lang w:val="es-CR"/>
              </w:rPr>
              <w:t xml:space="preserve"> de la renta </w:t>
            </w:r>
          </w:p>
          <w:p w14:paraId="1A122A84" w14:textId="77777777" w:rsidR="00F87CD2" w:rsidRPr="00F87CD2" w:rsidRDefault="00F87CD2">
            <w:pPr>
              <w:jc w:val="both"/>
              <w:rPr>
                <w:rFonts w:ascii="Arial" w:hAnsi="Arial" w:cs="Arial"/>
                <w:szCs w:val="22"/>
                <w:lang w:val="es-CR"/>
              </w:rPr>
            </w:pPr>
          </w:p>
          <w:p w14:paraId="45F5CE36" w14:textId="77777777" w:rsidR="00F87CD2" w:rsidRPr="00F87CD2" w:rsidRDefault="00F87CD2">
            <w:pPr>
              <w:jc w:val="both"/>
              <w:rPr>
                <w:rFonts w:ascii="Arial" w:hAnsi="Arial" w:cs="Arial"/>
                <w:szCs w:val="22"/>
                <w:lang w:val="es-CR"/>
              </w:rPr>
            </w:pPr>
          </w:p>
        </w:tc>
        <w:tc>
          <w:tcPr>
            <w:tcW w:w="2936" w:type="dxa"/>
            <w:tcBorders>
              <w:top w:val="single" w:sz="4" w:space="0" w:color="auto"/>
              <w:left w:val="single" w:sz="4" w:space="0" w:color="auto"/>
              <w:bottom w:val="single" w:sz="4" w:space="0" w:color="auto"/>
              <w:right w:val="single" w:sz="4" w:space="0" w:color="auto"/>
            </w:tcBorders>
          </w:tcPr>
          <w:p w14:paraId="01F4D9AB" w14:textId="77777777" w:rsidR="00F87CD2" w:rsidRPr="00F87CD2" w:rsidRDefault="00F87CD2">
            <w:pPr>
              <w:jc w:val="both"/>
              <w:rPr>
                <w:rFonts w:ascii="Arial" w:hAnsi="Arial" w:cs="Arial"/>
                <w:szCs w:val="22"/>
                <w:lang w:val="es-CR"/>
              </w:rPr>
            </w:pPr>
            <w:r w:rsidRPr="00F87CD2">
              <w:rPr>
                <w:rFonts w:ascii="Arial" w:hAnsi="Arial" w:cs="Arial"/>
                <w:szCs w:val="22"/>
                <w:lang w:val="es-CR"/>
              </w:rPr>
              <w:t xml:space="preserve">Monto de arrendamiento pagado por el inquilino durante el mes. </w:t>
            </w:r>
          </w:p>
          <w:p w14:paraId="294F25C0" w14:textId="77777777" w:rsidR="00F87CD2" w:rsidRPr="00F87CD2" w:rsidRDefault="00F87CD2">
            <w:pPr>
              <w:jc w:val="both"/>
              <w:rPr>
                <w:rFonts w:ascii="Arial" w:hAnsi="Arial" w:cs="Arial"/>
                <w:szCs w:val="22"/>
                <w:lang w:val="es-CR"/>
              </w:rPr>
            </w:pPr>
          </w:p>
          <w:p w14:paraId="5C680C2B" w14:textId="77777777" w:rsidR="00F87CD2" w:rsidRPr="00F87CD2" w:rsidRDefault="00F87CD2">
            <w:pPr>
              <w:jc w:val="both"/>
              <w:rPr>
                <w:rFonts w:ascii="Arial" w:hAnsi="Arial" w:cs="Arial"/>
                <w:b/>
                <w:bCs/>
                <w:color w:val="1F4E79"/>
                <w:szCs w:val="22"/>
                <w:lang w:val="es-CR"/>
              </w:rPr>
            </w:pPr>
            <w:r w:rsidRPr="00F87CD2">
              <w:rPr>
                <w:rFonts w:ascii="Arial" w:hAnsi="Arial" w:cs="Arial"/>
                <w:b/>
                <w:bCs/>
                <w:color w:val="1F4E79"/>
                <w:szCs w:val="22"/>
                <w:lang w:val="es-CR"/>
              </w:rPr>
              <w:lastRenderedPageBreak/>
              <w:t>Nota: La suma de todos los inquilinos debe ser igual al ingreso por arrendamiento reportado en el Estado de Resultados Mensual.</w:t>
            </w:r>
          </w:p>
          <w:p w14:paraId="1EA7C12A" w14:textId="77777777" w:rsidR="00F87CD2" w:rsidRPr="00F87CD2" w:rsidRDefault="00F87CD2">
            <w:pPr>
              <w:jc w:val="both"/>
              <w:rPr>
                <w:rFonts w:ascii="Arial" w:hAnsi="Arial" w:cs="Arial"/>
                <w:szCs w:val="22"/>
                <w:lang w:val="es-CR"/>
              </w:rPr>
            </w:pPr>
          </w:p>
        </w:tc>
      </w:tr>
      <w:tr w:rsidR="00F87CD2" w:rsidRPr="00F87CD2" w14:paraId="535DB7BF" w14:textId="77777777" w:rsidTr="00F87CD2">
        <w:trPr>
          <w:trHeight w:val="1487"/>
        </w:trPr>
        <w:tc>
          <w:tcPr>
            <w:tcW w:w="2044" w:type="dxa"/>
            <w:tcBorders>
              <w:top w:val="single" w:sz="4" w:space="0" w:color="auto"/>
              <w:left w:val="single" w:sz="4" w:space="0" w:color="auto"/>
              <w:bottom w:val="single" w:sz="4" w:space="0" w:color="auto"/>
              <w:right w:val="single" w:sz="4" w:space="0" w:color="auto"/>
            </w:tcBorders>
            <w:vAlign w:val="center"/>
            <w:hideMark/>
          </w:tcPr>
          <w:p w14:paraId="2D7B0705" w14:textId="77777777" w:rsidR="00F87CD2" w:rsidRPr="00F87CD2" w:rsidRDefault="00F87CD2">
            <w:pPr>
              <w:jc w:val="center"/>
              <w:rPr>
                <w:rFonts w:ascii="Arial" w:hAnsi="Arial" w:cs="Arial"/>
                <w:szCs w:val="22"/>
                <w:lang w:val="es-CR"/>
              </w:rPr>
            </w:pPr>
            <w:proofErr w:type="spellStart"/>
            <w:r w:rsidRPr="00F87CD2">
              <w:rPr>
                <w:rFonts w:ascii="Arial" w:hAnsi="Arial" w:cs="Arial"/>
                <w:szCs w:val="22"/>
                <w:lang w:val="es-CR"/>
              </w:rPr>
              <w:lastRenderedPageBreak/>
              <w:t>n.a</w:t>
            </w:r>
            <w:proofErr w:type="spellEnd"/>
            <w:r w:rsidRPr="00F87CD2">
              <w:rPr>
                <w:rFonts w:ascii="Arial" w:hAnsi="Arial" w:cs="Arial"/>
                <w:szCs w:val="22"/>
                <w:lang w:val="es-CR"/>
              </w:rPr>
              <w:t>.</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14:paraId="63C92674" w14:textId="77777777" w:rsidR="00F87CD2" w:rsidRPr="00F87CD2" w:rsidRDefault="00F87CD2">
            <w:pPr>
              <w:jc w:val="center"/>
              <w:rPr>
                <w:rFonts w:ascii="Arial" w:hAnsi="Arial" w:cs="Arial"/>
                <w:szCs w:val="22"/>
                <w:lang w:val="es-CR"/>
              </w:rPr>
            </w:pPr>
            <w:proofErr w:type="spellStart"/>
            <w:r w:rsidRPr="00F87CD2">
              <w:rPr>
                <w:rFonts w:ascii="Arial" w:hAnsi="Arial" w:cs="Arial"/>
                <w:szCs w:val="22"/>
                <w:lang w:val="es-CR"/>
              </w:rPr>
              <w:t>n.a</w:t>
            </w:r>
            <w:proofErr w:type="spellEnd"/>
            <w:r w:rsidRPr="00F87CD2">
              <w:rPr>
                <w:rFonts w:ascii="Arial" w:hAnsi="Arial" w:cs="Arial"/>
                <w:szCs w:val="22"/>
                <w:lang w:val="es-CR"/>
              </w:rPr>
              <w:t>.</w:t>
            </w:r>
          </w:p>
        </w:tc>
        <w:tc>
          <w:tcPr>
            <w:tcW w:w="2043" w:type="dxa"/>
            <w:tcBorders>
              <w:top w:val="single" w:sz="4" w:space="0" w:color="auto"/>
              <w:left w:val="single" w:sz="4" w:space="0" w:color="auto"/>
              <w:bottom w:val="single" w:sz="4" w:space="0" w:color="auto"/>
              <w:right w:val="single" w:sz="4" w:space="0" w:color="auto"/>
            </w:tcBorders>
            <w:hideMark/>
          </w:tcPr>
          <w:p w14:paraId="36D50F9A" w14:textId="77777777" w:rsidR="00F87CD2" w:rsidRPr="00F87CD2" w:rsidRDefault="00F87CD2">
            <w:pPr>
              <w:rPr>
                <w:rFonts w:ascii="Arial" w:hAnsi="Arial" w:cs="Arial"/>
                <w:b/>
                <w:bCs/>
                <w:color w:val="1F4E79"/>
                <w:szCs w:val="22"/>
                <w:lang w:val="es-CR"/>
              </w:rPr>
            </w:pPr>
            <w:r w:rsidRPr="00F87CD2">
              <w:rPr>
                <w:rFonts w:ascii="Arial" w:hAnsi="Arial" w:cs="Arial"/>
                <w:b/>
                <w:bCs/>
                <w:color w:val="1F4E79"/>
                <w:szCs w:val="22"/>
                <w:lang w:val="es-CR"/>
              </w:rPr>
              <w:t xml:space="preserve">6 </w:t>
            </w:r>
            <w:proofErr w:type="gramStart"/>
            <w:r w:rsidRPr="00F87CD2">
              <w:rPr>
                <w:rFonts w:ascii="Arial" w:hAnsi="Arial" w:cs="Arial"/>
                <w:b/>
                <w:bCs/>
                <w:color w:val="1F4E79"/>
                <w:szCs w:val="22"/>
                <w:lang w:val="es-CR"/>
              </w:rPr>
              <w:t>Justificación</w:t>
            </w:r>
            <w:proofErr w:type="gramEnd"/>
          </w:p>
        </w:tc>
        <w:tc>
          <w:tcPr>
            <w:tcW w:w="2936" w:type="dxa"/>
            <w:tcBorders>
              <w:top w:val="single" w:sz="4" w:space="0" w:color="auto"/>
              <w:left w:val="single" w:sz="4" w:space="0" w:color="auto"/>
              <w:bottom w:val="single" w:sz="4" w:space="0" w:color="auto"/>
              <w:right w:val="single" w:sz="4" w:space="0" w:color="auto"/>
            </w:tcBorders>
            <w:hideMark/>
          </w:tcPr>
          <w:p w14:paraId="26C44A28" w14:textId="77777777" w:rsidR="00F87CD2" w:rsidRPr="00F87CD2" w:rsidRDefault="00F87CD2">
            <w:pPr>
              <w:jc w:val="both"/>
              <w:rPr>
                <w:rFonts w:ascii="Arial" w:hAnsi="Arial" w:cs="Arial"/>
                <w:b/>
                <w:bCs/>
                <w:color w:val="1F4E79"/>
                <w:szCs w:val="22"/>
                <w:lang w:val="es-CR"/>
              </w:rPr>
            </w:pPr>
            <w:r w:rsidRPr="00F87CD2">
              <w:rPr>
                <w:rFonts w:ascii="Arial" w:hAnsi="Arial" w:cs="Arial"/>
                <w:b/>
                <w:bCs/>
                <w:color w:val="1F4E79"/>
                <w:szCs w:val="22"/>
                <w:lang w:val="es-CR"/>
              </w:rPr>
              <w:t>Si en el periodo a reportar el monto de renta está afectado por otros ajustes, que generen un monto igual o menor a 0.01, debe describirse la motivación.</w:t>
            </w:r>
          </w:p>
        </w:tc>
      </w:tr>
    </w:tbl>
    <w:p w14:paraId="4D5F04B6" w14:textId="77777777" w:rsidR="00F87CD2" w:rsidRPr="00F87CD2" w:rsidRDefault="00F87CD2" w:rsidP="00F87CD2">
      <w:pPr>
        <w:ind w:left="360"/>
        <w:jc w:val="both"/>
        <w:rPr>
          <w:rFonts w:ascii="Arial" w:hAnsi="Arial" w:cs="Arial"/>
          <w:szCs w:val="22"/>
          <w:lang w:val="es-CR" w:eastAsia="en-US"/>
        </w:rPr>
      </w:pPr>
    </w:p>
    <w:p w14:paraId="51448A4A" w14:textId="77777777" w:rsidR="00F87CD2" w:rsidRPr="00F87CD2" w:rsidRDefault="00F87CD2" w:rsidP="00F87CD2">
      <w:pPr>
        <w:jc w:val="center"/>
        <w:rPr>
          <w:rFonts w:ascii="Arial" w:eastAsia="Calibri" w:hAnsi="Arial" w:cs="Arial"/>
          <w:b/>
          <w:szCs w:val="22"/>
        </w:rPr>
      </w:pPr>
      <w:r w:rsidRPr="00F87CD2">
        <w:rPr>
          <w:rFonts w:ascii="Arial" w:eastAsiaTheme="minorHAnsi" w:hAnsi="Arial" w:cs="Arial"/>
          <w:szCs w:val="22"/>
          <w:lang w:eastAsia="en-US"/>
        </w:rPr>
        <w:object w:dxaOrig="1185" w:dyaOrig="765" w14:anchorId="676BA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8.25pt" o:ole="">
            <v:imagedata r:id="rId11" o:title=""/>
          </v:shape>
          <o:OLEObject Type="Embed" ProgID="Word.Document.12" ShapeID="_x0000_i1025" DrawAspect="Icon" ObjectID="_1721136993" r:id="rId12">
            <o:FieldCodes>\s</o:FieldCodes>
          </o:OLEObject>
        </w:object>
      </w:r>
    </w:p>
    <w:p w14:paraId="4D7A205C" w14:textId="77777777" w:rsidR="00F87CD2" w:rsidRPr="00F87CD2" w:rsidRDefault="00F87CD2" w:rsidP="00F87CD2">
      <w:pPr>
        <w:pStyle w:val="Prrafodelista"/>
        <w:numPr>
          <w:ilvl w:val="0"/>
          <w:numId w:val="18"/>
        </w:numPr>
        <w:spacing w:after="160" w:line="256" w:lineRule="auto"/>
        <w:ind w:left="709" w:hanging="696"/>
        <w:jc w:val="both"/>
        <w:rPr>
          <w:rFonts w:ascii="Arial" w:eastAsia="Calibri" w:hAnsi="Arial" w:cs="Arial"/>
          <w:szCs w:val="22"/>
          <w:lang w:val="es-CR"/>
        </w:rPr>
      </w:pPr>
      <w:r w:rsidRPr="00F87CD2">
        <w:rPr>
          <w:rFonts w:ascii="Arial" w:eastAsia="Calibri" w:hAnsi="Arial" w:cs="Arial"/>
          <w:szCs w:val="22"/>
        </w:rPr>
        <w:t>Se</w:t>
      </w:r>
      <w:r w:rsidRPr="00F87CD2">
        <w:rPr>
          <w:rFonts w:ascii="Arial" w:eastAsia="Calibri" w:hAnsi="Arial" w:cs="Arial"/>
          <w:szCs w:val="22"/>
          <w:lang w:val="es-CR"/>
        </w:rPr>
        <w:t xml:space="preserve"> modifica integralmente el Anexo 36 y su medio de envío en el Cuadro de Información </w:t>
      </w:r>
      <w:r w:rsidRPr="00F87CD2">
        <w:rPr>
          <w:rFonts w:ascii="Arial" w:eastAsia="Calibri" w:hAnsi="Arial" w:cs="Arial"/>
          <w:szCs w:val="22"/>
        </w:rPr>
        <w:t>Periódica del Acuerdo SGV-A-75, en los siguientes términos:</w:t>
      </w:r>
    </w:p>
    <w:tbl>
      <w:tblPr>
        <w:tblW w:w="10005" w:type="dxa"/>
        <w:tblInd w:w="-592" w:type="dxa"/>
        <w:tblLayout w:type="fixed"/>
        <w:tblCellMar>
          <w:left w:w="70" w:type="dxa"/>
          <w:right w:w="70" w:type="dxa"/>
        </w:tblCellMar>
        <w:tblLook w:val="04A0" w:firstRow="1" w:lastRow="0" w:firstColumn="1" w:lastColumn="0" w:noHBand="0" w:noVBand="1"/>
      </w:tblPr>
      <w:tblGrid>
        <w:gridCol w:w="1251"/>
        <w:gridCol w:w="1157"/>
        <w:gridCol w:w="1276"/>
        <w:gridCol w:w="1417"/>
        <w:gridCol w:w="1172"/>
        <w:gridCol w:w="1099"/>
        <w:gridCol w:w="1317"/>
        <w:gridCol w:w="1316"/>
      </w:tblGrid>
      <w:tr w:rsidR="00F87CD2" w:rsidRPr="00F87CD2" w14:paraId="2AEC261E" w14:textId="77777777" w:rsidTr="00F87CD2">
        <w:trPr>
          <w:trHeight w:val="261"/>
          <w:tblHeader/>
        </w:trPr>
        <w:tc>
          <w:tcPr>
            <w:tcW w:w="5103" w:type="dxa"/>
            <w:gridSpan w:val="4"/>
            <w:tcBorders>
              <w:top w:val="single" w:sz="4" w:space="0" w:color="auto"/>
              <w:left w:val="single" w:sz="4" w:space="0" w:color="auto"/>
              <w:bottom w:val="single" w:sz="4" w:space="0" w:color="auto"/>
              <w:right w:val="single" w:sz="4" w:space="0" w:color="auto"/>
            </w:tcBorders>
            <w:noWrap/>
            <w:vAlign w:val="center"/>
            <w:hideMark/>
          </w:tcPr>
          <w:p w14:paraId="61383D57"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Vigente</w:t>
            </w:r>
          </w:p>
        </w:tc>
        <w:tc>
          <w:tcPr>
            <w:tcW w:w="4904" w:type="dxa"/>
            <w:gridSpan w:val="4"/>
            <w:tcBorders>
              <w:top w:val="single" w:sz="4" w:space="0" w:color="auto"/>
              <w:left w:val="single" w:sz="4" w:space="0" w:color="auto"/>
              <w:bottom w:val="single" w:sz="4" w:space="0" w:color="auto"/>
              <w:right w:val="single" w:sz="4" w:space="0" w:color="auto"/>
            </w:tcBorders>
            <w:hideMark/>
          </w:tcPr>
          <w:p w14:paraId="45961D3A"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Propuesto</w:t>
            </w:r>
          </w:p>
        </w:tc>
      </w:tr>
      <w:tr w:rsidR="00F87CD2" w:rsidRPr="00F87CD2" w14:paraId="4C285F1F" w14:textId="77777777" w:rsidTr="00F87CD2">
        <w:trPr>
          <w:trHeight w:val="261"/>
          <w:tblHeader/>
        </w:trPr>
        <w:tc>
          <w:tcPr>
            <w:tcW w:w="12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07F23E4"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Informe/</w:t>
            </w:r>
          </w:p>
          <w:p w14:paraId="6890B73F"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Reporte</w:t>
            </w:r>
          </w:p>
        </w:tc>
        <w:tc>
          <w:tcPr>
            <w:tcW w:w="1158" w:type="dxa"/>
            <w:tcBorders>
              <w:top w:val="single" w:sz="4" w:space="0" w:color="auto"/>
              <w:left w:val="nil"/>
              <w:bottom w:val="single" w:sz="4" w:space="0" w:color="auto"/>
              <w:right w:val="single" w:sz="4" w:space="0" w:color="auto"/>
            </w:tcBorders>
            <w:shd w:val="clear" w:color="auto" w:fill="E7E6E6" w:themeFill="background2"/>
            <w:hideMark/>
          </w:tcPr>
          <w:p w14:paraId="12D2C86D"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Formato o normas sobre el Contenido</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5FBD96"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Medio de envío</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F901FA"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Notas aclaratorias</w:t>
            </w:r>
          </w:p>
        </w:tc>
        <w:tc>
          <w:tcPr>
            <w:tcW w:w="11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CDAF89"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Informe/</w:t>
            </w:r>
          </w:p>
          <w:p w14:paraId="3ED3DAD5"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Reporte</w:t>
            </w:r>
          </w:p>
        </w:tc>
        <w:tc>
          <w:tcPr>
            <w:tcW w:w="10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7F02D5"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Formato o normas sobre el Contenido</w:t>
            </w:r>
          </w:p>
        </w:tc>
        <w:tc>
          <w:tcPr>
            <w:tcW w:w="13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9C7CF9"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Medio de envío</w:t>
            </w:r>
          </w:p>
        </w:tc>
        <w:tc>
          <w:tcPr>
            <w:tcW w:w="13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731CE6"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Notas aclaratorias</w:t>
            </w:r>
          </w:p>
        </w:tc>
      </w:tr>
      <w:tr w:rsidR="00F87CD2" w:rsidRPr="00F87CD2" w14:paraId="6D466C86" w14:textId="77777777" w:rsidTr="00F87CD2">
        <w:trPr>
          <w:trHeight w:val="431"/>
        </w:trPr>
        <w:tc>
          <w:tcPr>
            <w:tcW w:w="1252" w:type="dxa"/>
            <w:tcBorders>
              <w:top w:val="single" w:sz="4" w:space="0" w:color="auto"/>
              <w:left w:val="single" w:sz="4" w:space="0" w:color="auto"/>
              <w:bottom w:val="single" w:sz="4" w:space="0" w:color="auto"/>
              <w:right w:val="single" w:sz="4" w:space="0" w:color="auto"/>
            </w:tcBorders>
            <w:vAlign w:val="center"/>
            <w:hideMark/>
          </w:tcPr>
          <w:p w14:paraId="43D6119C" w14:textId="77777777" w:rsidR="00F87CD2" w:rsidRPr="00F87CD2" w:rsidRDefault="00F87CD2">
            <w:pPr>
              <w:contextualSpacing/>
              <w:jc w:val="center"/>
              <w:rPr>
                <w:rFonts w:ascii="Arial" w:hAnsi="Arial" w:cs="Arial"/>
                <w:szCs w:val="22"/>
                <w:lang w:val="es-CR" w:eastAsia="es-CR"/>
              </w:rPr>
            </w:pPr>
            <w:r w:rsidRPr="00F87CD2">
              <w:rPr>
                <w:rFonts w:ascii="Arial" w:hAnsi="Arial" w:cs="Arial"/>
                <w:szCs w:val="22"/>
                <w:lang w:val="es-CR" w:eastAsia="es-CR"/>
              </w:rPr>
              <w:t>Cambios en la Información Inmobiliaria</w:t>
            </w:r>
          </w:p>
        </w:tc>
        <w:tc>
          <w:tcPr>
            <w:tcW w:w="1158" w:type="dxa"/>
            <w:tcBorders>
              <w:top w:val="single" w:sz="4" w:space="0" w:color="auto"/>
              <w:left w:val="nil"/>
              <w:bottom w:val="single" w:sz="4" w:space="0" w:color="auto"/>
              <w:right w:val="single" w:sz="4" w:space="0" w:color="auto"/>
            </w:tcBorders>
            <w:vAlign w:val="center"/>
            <w:hideMark/>
          </w:tcPr>
          <w:p w14:paraId="066E765A"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Anexo 36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BF04A7"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MENDOCEL</w:t>
            </w:r>
          </w:p>
          <w:p w14:paraId="79227014"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SGV-A-188</w:t>
            </w:r>
          </w:p>
        </w:tc>
        <w:tc>
          <w:tcPr>
            <w:tcW w:w="1417" w:type="dxa"/>
            <w:tcBorders>
              <w:top w:val="single" w:sz="4" w:space="0" w:color="auto"/>
              <w:left w:val="single" w:sz="4" w:space="0" w:color="auto"/>
              <w:bottom w:val="single" w:sz="4" w:space="0" w:color="auto"/>
              <w:right w:val="single" w:sz="4" w:space="0" w:color="auto"/>
            </w:tcBorders>
          </w:tcPr>
          <w:p w14:paraId="3932A14F" w14:textId="77777777" w:rsidR="00F87CD2" w:rsidRPr="00F87CD2" w:rsidRDefault="00F87CD2">
            <w:pPr>
              <w:jc w:val="center"/>
              <w:rPr>
                <w:rFonts w:ascii="Arial" w:hAnsi="Arial" w:cs="Arial"/>
                <w:szCs w:val="22"/>
                <w:lang w:val="es-CR" w:eastAsia="es-CR"/>
              </w:rPr>
            </w:pPr>
          </w:p>
        </w:tc>
        <w:tc>
          <w:tcPr>
            <w:tcW w:w="1172" w:type="dxa"/>
            <w:tcBorders>
              <w:top w:val="single" w:sz="4" w:space="0" w:color="auto"/>
              <w:left w:val="single" w:sz="4" w:space="0" w:color="auto"/>
              <w:bottom w:val="single" w:sz="4" w:space="0" w:color="auto"/>
              <w:right w:val="single" w:sz="4" w:space="0" w:color="auto"/>
            </w:tcBorders>
            <w:vAlign w:val="center"/>
          </w:tcPr>
          <w:p w14:paraId="666318DB" w14:textId="77777777" w:rsidR="00F87CD2" w:rsidRPr="00F87CD2" w:rsidRDefault="00F87CD2">
            <w:pPr>
              <w:jc w:val="center"/>
              <w:rPr>
                <w:rFonts w:ascii="Arial" w:hAnsi="Arial" w:cs="Arial"/>
                <w:szCs w:val="22"/>
                <w:lang w:val="es-CR" w:eastAsia="es-CR"/>
              </w:rPr>
            </w:pPr>
          </w:p>
          <w:p w14:paraId="02BD7C81" w14:textId="77777777" w:rsidR="00F87CD2" w:rsidRPr="00F87CD2" w:rsidRDefault="00F87CD2">
            <w:pPr>
              <w:contextualSpacing/>
              <w:jc w:val="center"/>
              <w:rPr>
                <w:rFonts w:ascii="Arial" w:hAnsi="Arial" w:cs="Arial"/>
                <w:szCs w:val="22"/>
                <w:lang w:val="es-CR" w:eastAsia="es-CR"/>
              </w:rPr>
            </w:pPr>
            <w:r w:rsidRPr="00F87CD2">
              <w:rPr>
                <w:rFonts w:ascii="Arial" w:hAnsi="Arial" w:cs="Arial"/>
                <w:szCs w:val="22"/>
                <w:lang w:val="es-CR" w:eastAsia="es-CR"/>
              </w:rPr>
              <w:t>Cambios en la Información Inmobiliaria</w:t>
            </w:r>
          </w:p>
        </w:tc>
        <w:tc>
          <w:tcPr>
            <w:tcW w:w="1099" w:type="dxa"/>
            <w:tcBorders>
              <w:top w:val="single" w:sz="4" w:space="0" w:color="auto"/>
              <w:left w:val="single" w:sz="4" w:space="0" w:color="auto"/>
              <w:bottom w:val="single" w:sz="4" w:space="0" w:color="auto"/>
              <w:right w:val="single" w:sz="4" w:space="0" w:color="auto"/>
            </w:tcBorders>
            <w:vAlign w:val="center"/>
            <w:hideMark/>
          </w:tcPr>
          <w:p w14:paraId="3A5E0667"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 xml:space="preserve">Anexo 36 </w:t>
            </w:r>
          </w:p>
        </w:tc>
        <w:tc>
          <w:tcPr>
            <w:tcW w:w="1317" w:type="dxa"/>
            <w:tcBorders>
              <w:top w:val="single" w:sz="4" w:space="0" w:color="auto"/>
              <w:left w:val="single" w:sz="4" w:space="0" w:color="auto"/>
              <w:bottom w:val="single" w:sz="4" w:space="0" w:color="auto"/>
              <w:right w:val="single" w:sz="4" w:space="0" w:color="auto"/>
            </w:tcBorders>
            <w:vAlign w:val="center"/>
            <w:hideMark/>
          </w:tcPr>
          <w:p w14:paraId="44287756" w14:textId="77777777" w:rsidR="00F87CD2" w:rsidRPr="00F87CD2" w:rsidRDefault="00F87CD2">
            <w:pPr>
              <w:jc w:val="center"/>
              <w:rPr>
                <w:rFonts w:ascii="Arial" w:hAnsi="Arial" w:cs="Arial"/>
                <w:b/>
                <w:bCs/>
                <w:color w:val="1F3864" w:themeColor="accent1" w:themeShade="80"/>
                <w:szCs w:val="22"/>
                <w:lang w:val="es-CR" w:eastAsia="es-CR"/>
              </w:rPr>
            </w:pPr>
            <w:r w:rsidRPr="00F87CD2">
              <w:rPr>
                <w:rFonts w:ascii="Arial" w:hAnsi="Arial" w:cs="Arial"/>
                <w:b/>
                <w:bCs/>
                <w:color w:val="1F3864" w:themeColor="accent1" w:themeShade="80"/>
                <w:szCs w:val="22"/>
                <w:lang w:val="es-CR" w:eastAsia="es-CR"/>
              </w:rPr>
              <w:t>Sistema de Autogestión de Información Inmobiliaria (AIM)</w:t>
            </w:r>
          </w:p>
          <w:p w14:paraId="5F76E785" w14:textId="77777777" w:rsidR="00F87CD2" w:rsidRPr="00F87CD2" w:rsidRDefault="00F87CD2">
            <w:pPr>
              <w:jc w:val="center"/>
              <w:rPr>
                <w:rFonts w:ascii="Arial" w:hAnsi="Arial" w:cs="Arial"/>
                <w:b/>
                <w:bCs/>
                <w:szCs w:val="22"/>
                <w:lang w:val="es-CR" w:eastAsia="es-CR"/>
              </w:rPr>
            </w:pPr>
            <w:r w:rsidRPr="00F87CD2">
              <w:rPr>
                <w:rFonts w:ascii="Arial" w:hAnsi="Arial" w:cs="Arial"/>
                <w:b/>
                <w:bCs/>
                <w:color w:val="1F3864" w:themeColor="accent1" w:themeShade="80"/>
                <w:szCs w:val="22"/>
                <w:lang w:val="es-CR" w:eastAsia="es-CR"/>
              </w:rPr>
              <w:t xml:space="preserve">Sistema </w:t>
            </w:r>
            <w:proofErr w:type="spellStart"/>
            <w:r w:rsidRPr="00F87CD2">
              <w:rPr>
                <w:rFonts w:ascii="Arial" w:hAnsi="Arial" w:cs="Arial"/>
                <w:b/>
                <w:bCs/>
                <w:color w:val="1F3864" w:themeColor="accent1" w:themeShade="80"/>
                <w:szCs w:val="22"/>
                <w:lang w:val="es-CR" w:eastAsia="es-CR"/>
              </w:rPr>
              <w:t>Ingresador</w:t>
            </w:r>
            <w:proofErr w:type="spellEnd"/>
          </w:p>
        </w:tc>
        <w:tc>
          <w:tcPr>
            <w:tcW w:w="1316" w:type="dxa"/>
            <w:tcBorders>
              <w:top w:val="single" w:sz="4" w:space="0" w:color="auto"/>
              <w:left w:val="single" w:sz="4" w:space="0" w:color="auto"/>
              <w:bottom w:val="single" w:sz="4" w:space="0" w:color="auto"/>
              <w:right w:val="single" w:sz="4" w:space="0" w:color="auto"/>
            </w:tcBorders>
            <w:hideMark/>
          </w:tcPr>
          <w:p w14:paraId="6F9CCBE1" w14:textId="77777777" w:rsidR="00F87CD2" w:rsidRPr="00F87CD2" w:rsidRDefault="00F87CD2">
            <w:pPr>
              <w:jc w:val="center"/>
              <w:rPr>
                <w:rFonts w:ascii="Arial" w:hAnsi="Arial" w:cs="Arial"/>
                <w:b/>
                <w:bCs/>
                <w:color w:val="1F3864" w:themeColor="accent1" w:themeShade="80"/>
                <w:szCs w:val="22"/>
                <w:lang w:val="es-CR" w:eastAsia="es-CR"/>
              </w:rPr>
            </w:pPr>
            <w:r w:rsidRPr="00F87CD2">
              <w:rPr>
                <w:rFonts w:ascii="Arial" w:hAnsi="Arial" w:cs="Arial"/>
                <w:b/>
                <w:bCs/>
                <w:color w:val="1F3864" w:themeColor="accent1" w:themeShade="80"/>
                <w:szCs w:val="22"/>
                <w:lang w:val="es-CR" w:eastAsia="es-CR"/>
              </w:rPr>
              <w:t xml:space="preserve">Para la inclusión de la información seguir lo indicado en el </w:t>
            </w:r>
            <w:r w:rsidRPr="00F87CD2">
              <w:rPr>
                <w:rFonts w:ascii="Arial" w:hAnsi="Arial" w:cs="Arial"/>
                <w:b/>
                <w:bCs/>
                <w:i/>
                <w:iCs/>
                <w:color w:val="1F3864" w:themeColor="accent1" w:themeShade="80"/>
                <w:szCs w:val="22"/>
                <w:lang w:val="es-CR" w:eastAsia="es-CR"/>
              </w:rPr>
              <w:t xml:space="preserve">Manual de </w:t>
            </w:r>
            <w:proofErr w:type="gramStart"/>
            <w:r w:rsidRPr="00F87CD2">
              <w:rPr>
                <w:rFonts w:ascii="Arial" w:hAnsi="Arial" w:cs="Arial"/>
                <w:b/>
                <w:bCs/>
                <w:i/>
                <w:iCs/>
                <w:color w:val="1F3864" w:themeColor="accent1" w:themeShade="80"/>
                <w:szCs w:val="22"/>
                <w:lang w:val="es-CR" w:eastAsia="es-CR"/>
              </w:rPr>
              <w:t>Autogestión  de</w:t>
            </w:r>
            <w:proofErr w:type="gramEnd"/>
            <w:r w:rsidRPr="00F87CD2">
              <w:rPr>
                <w:rFonts w:ascii="Arial" w:hAnsi="Arial" w:cs="Arial"/>
                <w:b/>
                <w:bCs/>
                <w:i/>
                <w:iCs/>
                <w:color w:val="1F3864" w:themeColor="accent1" w:themeShade="80"/>
                <w:szCs w:val="22"/>
                <w:lang w:val="es-CR" w:eastAsia="es-CR"/>
              </w:rPr>
              <w:t xml:space="preserve"> Información Inmobiliaria</w:t>
            </w:r>
          </w:p>
        </w:tc>
      </w:tr>
      <w:tr w:rsidR="00F87CD2" w:rsidRPr="00F87CD2" w14:paraId="0F048C26" w14:textId="77777777" w:rsidTr="00F87CD2">
        <w:trPr>
          <w:trHeight w:val="431"/>
        </w:trPr>
        <w:tc>
          <w:tcPr>
            <w:tcW w:w="1252" w:type="dxa"/>
            <w:tcBorders>
              <w:top w:val="single" w:sz="4" w:space="0" w:color="auto"/>
              <w:left w:val="single" w:sz="4" w:space="0" w:color="auto"/>
              <w:bottom w:val="single" w:sz="4" w:space="0" w:color="auto"/>
              <w:right w:val="single" w:sz="4" w:space="0" w:color="auto"/>
            </w:tcBorders>
            <w:vAlign w:val="center"/>
            <w:hideMark/>
          </w:tcPr>
          <w:p w14:paraId="41BE3F33" w14:textId="77777777" w:rsidR="00F87CD2" w:rsidRPr="00F87CD2" w:rsidRDefault="00F87CD2">
            <w:pPr>
              <w:contextualSpacing/>
              <w:jc w:val="center"/>
              <w:rPr>
                <w:rFonts w:ascii="Arial" w:hAnsi="Arial" w:cs="Arial"/>
                <w:szCs w:val="22"/>
                <w:lang w:val="es-CR" w:eastAsia="es-CR"/>
              </w:rPr>
            </w:pPr>
            <w:r w:rsidRPr="00F87CD2">
              <w:rPr>
                <w:rFonts w:ascii="Arial" w:hAnsi="Arial" w:cs="Arial"/>
                <w:szCs w:val="22"/>
                <w:lang w:val="es-CR" w:eastAsia="es-CR"/>
              </w:rPr>
              <w:t>Avalúo pericial y financiero de bienes inmuebles</w:t>
            </w:r>
          </w:p>
        </w:tc>
        <w:tc>
          <w:tcPr>
            <w:tcW w:w="1158" w:type="dxa"/>
            <w:tcBorders>
              <w:top w:val="single" w:sz="4" w:space="0" w:color="auto"/>
              <w:left w:val="nil"/>
              <w:bottom w:val="single" w:sz="4" w:space="0" w:color="auto"/>
              <w:right w:val="single" w:sz="4" w:space="0" w:color="auto"/>
            </w:tcBorders>
            <w:vAlign w:val="center"/>
            <w:hideMark/>
          </w:tcPr>
          <w:p w14:paraId="3A8B5E5F"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B029FF"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MENDOCEL</w:t>
            </w:r>
          </w:p>
          <w:p w14:paraId="7447DA0D"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SGV-A-188</w:t>
            </w:r>
          </w:p>
        </w:tc>
        <w:tc>
          <w:tcPr>
            <w:tcW w:w="1417" w:type="dxa"/>
            <w:tcBorders>
              <w:top w:val="single" w:sz="4" w:space="0" w:color="auto"/>
              <w:left w:val="single" w:sz="4" w:space="0" w:color="auto"/>
              <w:bottom w:val="single" w:sz="4" w:space="0" w:color="auto"/>
              <w:right w:val="single" w:sz="4" w:space="0" w:color="auto"/>
            </w:tcBorders>
            <w:hideMark/>
          </w:tcPr>
          <w:p w14:paraId="03850A54"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 xml:space="preserve">Las declaraciones que deben remitir los valuadores deben ser en papel. (Circular </w:t>
            </w:r>
            <w:r w:rsidRPr="00F87CD2">
              <w:rPr>
                <w:rFonts w:ascii="Arial" w:hAnsi="Arial" w:cs="Arial"/>
                <w:szCs w:val="22"/>
                <w:lang w:val="es-CR" w:eastAsia="es-CR"/>
              </w:rPr>
              <w:lastRenderedPageBreak/>
              <w:t>3055 del 19-9-2014)</w:t>
            </w:r>
          </w:p>
        </w:tc>
        <w:tc>
          <w:tcPr>
            <w:tcW w:w="1172" w:type="dxa"/>
            <w:tcBorders>
              <w:top w:val="single" w:sz="4" w:space="0" w:color="auto"/>
              <w:left w:val="single" w:sz="4" w:space="0" w:color="auto"/>
              <w:bottom w:val="single" w:sz="4" w:space="0" w:color="auto"/>
              <w:right w:val="single" w:sz="4" w:space="0" w:color="auto"/>
            </w:tcBorders>
          </w:tcPr>
          <w:p w14:paraId="21E9F7AF" w14:textId="77777777" w:rsidR="00F87CD2" w:rsidRPr="00F87CD2" w:rsidRDefault="00F87CD2">
            <w:pPr>
              <w:jc w:val="center"/>
              <w:rPr>
                <w:rFonts w:ascii="Arial" w:hAnsi="Arial" w:cs="Arial"/>
                <w:szCs w:val="22"/>
                <w:lang w:val="es-CR" w:eastAsia="es-CR"/>
              </w:rPr>
            </w:pPr>
          </w:p>
          <w:p w14:paraId="27CFACC6" w14:textId="77777777" w:rsidR="00F87CD2" w:rsidRPr="00F87CD2" w:rsidRDefault="00F87CD2">
            <w:pPr>
              <w:jc w:val="center"/>
              <w:rPr>
                <w:rFonts w:ascii="Arial" w:hAnsi="Arial" w:cs="Arial"/>
                <w:szCs w:val="22"/>
                <w:lang w:val="es-CR" w:eastAsia="es-CR"/>
              </w:rPr>
            </w:pPr>
            <w:r w:rsidRPr="00F87CD2">
              <w:rPr>
                <w:rFonts w:ascii="Arial" w:hAnsi="Arial" w:cs="Arial"/>
                <w:b/>
                <w:bCs/>
                <w:color w:val="1F3864" w:themeColor="accent1" w:themeShade="80"/>
                <w:szCs w:val="22"/>
                <w:lang w:val="es-CR" w:eastAsia="es-CR"/>
              </w:rPr>
              <w:t>Avalúo IVS</w:t>
            </w:r>
            <w:r w:rsidRPr="00F87CD2">
              <w:rPr>
                <w:rFonts w:ascii="Arial" w:hAnsi="Arial" w:cs="Arial"/>
                <w:color w:val="1F3864" w:themeColor="accent1" w:themeShade="80"/>
                <w:szCs w:val="22"/>
                <w:lang w:val="es-CR" w:eastAsia="es-CR"/>
              </w:rPr>
              <w:t xml:space="preserve"> </w:t>
            </w:r>
            <w:r w:rsidRPr="00F87CD2">
              <w:rPr>
                <w:rFonts w:ascii="Arial" w:hAnsi="Arial" w:cs="Arial"/>
                <w:szCs w:val="22"/>
                <w:lang w:val="es-CR" w:eastAsia="es-CR"/>
              </w:rPr>
              <w:t>de Bienes Inmuebles</w:t>
            </w:r>
          </w:p>
        </w:tc>
        <w:tc>
          <w:tcPr>
            <w:tcW w:w="1099" w:type="dxa"/>
            <w:tcBorders>
              <w:top w:val="single" w:sz="4" w:space="0" w:color="auto"/>
              <w:left w:val="single" w:sz="4" w:space="0" w:color="auto"/>
              <w:bottom w:val="single" w:sz="4" w:space="0" w:color="auto"/>
              <w:right w:val="single" w:sz="4" w:space="0" w:color="auto"/>
            </w:tcBorders>
            <w:vAlign w:val="center"/>
            <w:hideMark/>
          </w:tcPr>
          <w:p w14:paraId="6523E43F"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Anexo 36</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CF82732" w14:textId="77777777" w:rsidR="00F87CD2" w:rsidRPr="00F87CD2" w:rsidRDefault="00F87CD2">
            <w:pPr>
              <w:jc w:val="center"/>
              <w:rPr>
                <w:rFonts w:ascii="Arial" w:hAnsi="Arial" w:cs="Arial"/>
                <w:b/>
                <w:bCs/>
                <w:color w:val="1F3864" w:themeColor="accent1" w:themeShade="80"/>
                <w:szCs w:val="22"/>
                <w:lang w:val="es-CR" w:eastAsia="es-CR"/>
              </w:rPr>
            </w:pPr>
            <w:r w:rsidRPr="00F87CD2">
              <w:rPr>
                <w:rFonts w:ascii="Arial" w:hAnsi="Arial" w:cs="Arial"/>
                <w:b/>
                <w:bCs/>
                <w:color w:val="1F3864" w:themeColor="accent1" w:themeShade="80"/>
                <w:szCs w:val="22"/>
                <w:lang w:val="es-CR" w:eastAsia="es-CR"/>
              </w:rPr>
              <w:t>Sistema de Autogestión de Información Inmobiliaria (AIM)</w:t>
            </w:r>
          </w:p>
          <w:p w14:paraId="470468A1" w14:textId="77777777" w:rsidR="00F87CD2" w:rsidRPr="00F87CD2" w:rsidRDefault="00F87CD2">
            <w:pPr>
              <w:jc w:val="center"/>
              <w:rPr>
                <w:rFonts w:ascii="Arial" w:hAnsi="Arial" w:cs="Arial"/>
                <w:b/>
                <w:bCs/>
                <w:szCs w:val="22"/>
                <w:lang w:val="es-CR" w:eastAsia="es-CR"/>
              </w:rPr>
            </w:pPr>
            <w:r w:rsidRPr="00F87CD2">
              <w:rPr>
                <w:rFonts w:ascii="Arial" w:hAnsi="Arial" w:cs="Arial"/>
                <w:b/>
                <w:bCs/>
                <w:color w:val="1F3864" w:themeColor="accent1" w:themeShade="80"/>
                <w:szCs w:val="22"/>
                <w:lang w:val="es-CR" w:eastAsia="es-CR"/>
              </w:rPr>
              <w:t xml:space="preserve">Sistema </w:t>
            </w:r>
            <w:proofErr w:type="spellStart"/>
            <w:r w:rsidRPr="00F87CD2">
              <w:rPr>
                <w:rFonts w:ascii="Arial" w:hAnsi="Arial" w:cs="Arial"/>
                <w:b/>
                <w:bCs/>
                <w:color w:val="1F3864" w:themeColor="accent1" w:themeShade="80"/>
                <w:szCs w:val="22"/>
                <w:lang w:val="es-CR" w:eastAsia="es-CR"/>
              </w:rPr>
              <w:t>Ingresador</w:t>
            </w:r>
            <w:proofErr w:type="spellEnd"/>
          </w:p>
        </w:tc>
        <w:tc>
          <w:tcPr>
            <w:tcW w:w="1316" w:type="dxa"/>
            <w:tcBorders>
              <w:top w:val="single" w:sz="4" w:space="0" w:color="auto"/>
              <w:left w:val="single" w:sz="4" w:space="0" w:color="auto"/>
              <w:bottom w:val="single" w:sz="4" w:space="0" w:color="auto"/>
              <w:right w:val="single" w:sz="4" w:space="0" w:color="auto"/>
            </w:tcBorders>
            <w:hideMark/>
          </w:tcPr>
          <w:p w14:paraId="0F2EBC90" w14:textId="77777777" w:rsidR="00F87CD2" w:rsidRPr="00F87CD2" w:rsidRDefault="00F87CD2">
            <w:pPr>
              <w:jc w:val="center"/>
              <w:rPr>
                <w:rFonts w:ascii="Arial" w:hAnsi="Arial" w:cs="Arial"/>
                <w:b/>
                <w:bCs/>
                <w:color w:val="1F3864" w:themeColor="accent1" w:themeShade="80"/>
                <w:szCs w:val="22"/>
                <w:lang w:val="es-CR" w:eastAsia="es-CR"/>
              </w:rPr>
            </w:pPr>
            <w:r w:rsidRPr="00F87CD2">
              <w:rPr>
                <w:rFonts w:ascii="Arial" w:hAnsi="Arial" w:cs="Arial"/>
                <w:b/>
                <w:bCs/>
                <w:color w:val="1F3864" w:themeColor="accent1" w:themeShade="80"/>
                <w:szCs w:val="22"/>
                <w:lang w:val="es-CR" w:eastAsia="es-CR"/>
              </w:rPr>
              <w:t xml:space="preserve">Para la inclusión de la información seguir lo indicado en el </w:t>
            </w:r>
            <w:r w:rsidRPr="00F87CD2">
              <w:rPr>
                <w:rFonts w:ascii="Arial" w:hAnsi="Arial" w:cs="Arial"/>
                <w:b/>
                <w:bCs/>
                <w:i/>
                <w:iCs/>
                <w:color w:val="1F3864" w:themeColor="accent1" w:themeShade="80"/>
                <w:szCs w:val="22"/>
                <w:lang w:val="es-CR" w:eastAsia="es-CR"/>
              </w:rPr>
              <w:t xml:space="preserve">Manual de </w:t>
            </w:r>
            <w:proofErr w:type="gramStart"/>
            <w:r w:rsidRPr="00F87CD2">
              <w:rPr>
                <w:rFonts w:ascii="Arial" w:hAnsi="Arial" w:cs="Arial"/>
                <w:b/>
                <w:bCs/>
                <w:i/>
                <w:iCs/>
                <w:color w:val="1F3864" w:themeColor="accent1" w:themeShade="80"/>
                <w:szCs w:val="22"/>
                <w:lang w:val="es-CR" w:eastAsia="es-CR"/>
              </w:rPr>
              <w:t>Autogestió</w:t>
            </w:r>
            <w:r w:rsidRPr="00F87CD2">
              <w:rPr>
                <w:rFonts w:ascii="Arial" w:hAnsi="Arial" w:cs="Arial"/>
                <w:b/>
                <w:bCs/>
                <w:i/>
                <w:iCs/>
                <w:color w:val="1F3864" w:themeColor="accent1" w:themeShade="80"/>
                <w:szCs w:val="22"/>
                <w:lang w:val="es-CR" w:eastAsia="es-CR"/>
              </w:rPr>
              <w:lastRenderedPageBreak/>
              <w:t>n  de</w:t>
            </w:r>
            <w:proofErr w:type="gramEnd"/>
            <w:r w:rsidRPr="00F87CD2">
              <w:rPr>
                <w:rFonts w:ascii="Arial" w:hAnsi="Arial" w:cs="Arial"/>
                <w:b/>
                <w:bCs/>
                <w:i/>
                <w:iCs/>
                <w:color w:val="1F3864" w:themeColor="accent1" w:themeShade="80"/>
                <w:szCs w:val="22"/>
                <w:lang w:val="es-CR" w:eastAsia="es-CR"/>
              </w:rPr>
              <w:t xml:space="preserve"> Información Inmobiliaria</w:t>
            </w:r>
          </w:p>
        </w:tc>
      </w:tr>
    </w:tbl>
    <w:p w14:paraId="3C814B3F" w14:textId="77777777" w:rsidR="00F87CD2" w:rsidRPr="00F87CD2" w:rsidRDefault="00F87CD2" w:rsidP="00F87CD2">
      <w:pPr>
        <w:jc w:val="both"/>
        <w:rPr>
          <w:rFonts w:ascii="Arial" w:eastAsia="Calibri" w:hAnsi="Arial" w:cs="Arial"/>
          <w:szCs w:val="22"/>
          <w:lang w:eastAsia="en-US"/>
        </w:rPr>
      </w:pPr>
    </w:p>
    <w:p w14:paraId="473087A1" w14:textId="77777777" w:rsidR="00F87CD2" w:rsidRPr="00F87CD2" w:rsidRDefault="00F87CD2" w:rsidP="00F87CD2">
      <w:pPr>
        <w:jc w:val="center"/>
        <w:rPr>
          <w:rFonts w:ascii="Arial" w:eastAsiaTheme="minorHAnsi" w:hAnsi="Arial" w:cs="Arial"/>
          <w:szCs w:val="22"/>
        </w:rPr>
      </w:pPr>
      <w:r w:rsidRPr="00F87CD2">
        <w:rPr>
          <w:rFonts w:ascii="Arial" w:eastAsiaTheme="minorHAnsi" w:hAnsi="Arial" w:cs="Arial"/>
          <w:szCs w:val="22"/>
          <w:lang w:eastAsia="en-US"/>
        </w:rPr>
        <w:object w:dxaOrig="1185" w:dyaOrig="765" w14:anchorId="29247308">
          <v:shape id="_x0000_i1026" type="#_x0000_t75" style="width:59.25pt;height:38.25pt" o:ole="">
            <v:imagedata r:id="rId13" o:title=""/>
          </v:shape>
          <o:OLEObject Type="Embed" ProgID="Word.Document.12" ShapeID="_x0000_i1026" DrawAspect="Icon" ObjectID="_1721136994" r:id="rId14">
            <o:FieldCodes>\s</o:FieldCodes>
          </o:OLEObject>
        </w:object>
      </w:r>
    </w:p>
    <w:p w14:paraId="2BCFF9DD" w14:textId="77777777" w:rsidR="00F87CD2" w:rsidRPr="00F87CD2" w:rsidRDefault="00F87CD2" w:rsidP="00F87CD2">
      <w:pPr>
        <w:jc w:val="both"/>
        <w:rPr>
          <w:rFonts w:ascii="Arial" w:eastAsia="Calibri" w:hAnsi="Arial" w:cs="Arial"/>
          <w:b/>
          <w:color w:val="000000"/>
          <w:szCs w:val="22"/>
          <w:lang w:eastAsia="es-CR"/>
        </w:rPr>
      </w:pPr>
    </w:p>
    <w:p w14:paraId="64B16CF9" w14:textId="77777777" w:rsidR="00F87CD2" w:rsidRPr="00F87CD2" w:rsidRDefault="00F87CD2" w:rsidP="00F87CD2">
      <w:pPr>
        <w:jc w:val="both"/>
        <w:rPr>
          <w:rFonts w:ascii="Arial" w:eastAsia="Calibri" w:hAnsi="Arial" w:cs="Arial"/>
          <w:b/>
          <w:color w:val="000000"/>
          <w:szCs w:val="22"/>
          <w:lang w:eastAsia="es-CR"/>
        </w:rPr>
      </w:pPr>
      <w:r w:rsidRPr="00F87CD2">
        <w:rPr>
          <w:rFonts w:ascii="Arial" w:eastAsia="Calibri" w:hAnsi="Arial" w:cs="Arial"/>
          <w:b/>
          <w:color w:val="000000"/>
          <w:szCs w:val="22"/>
          <w:lang w:eastAsia="es-CR"/>
        </w:rPr>
        <w:t>Artículo 2.-</w:t>
      </w:r>
      <w:r w:rsidRPr="00F87CD2">
        <w:rPr>
          <w:rFonts w:ascii="Arial" w:eastAsia="Calibri" w:hAnsi="Arial" w:cs="Arial"/>
          <w:b/>
          <w:color w:val="000000"/>
          <w:szCs w:val="22"/>
          <w:lang w:eastAsia="es-CR"/>
        </w:rPr>
        <w:tab/>
        <w:t>Reformas a otros anexos del SGV A 75</w:t>
      </w:r>
    </w:p>
    <w:p w14:paraId="05AE768F" w14:textId="77777777" w:rsidR="00F87CD2" w:rsidRPr="00F87CD2" w:rsidRDefault="00F87CD2" w:rsidP="00F87CD2">
      <w:pPr>
        <w:pStyle w:val="Prrafodelista"/>
        <w:jc w:val="both"/>
        <w:rPr>
          <w:rFonts w:ascii="Arial" w:eastAsia="Calibri" w:hAnsi="Arial" w:cs="Arial"/>
          <w:color w:val="000000"/>
          <w:szCs w:val="22"/>
          <w:lang w:eastAsia="es-CR"/>
        </w:rPr>
      </w:pPr>
    </w:p>
    <w:p w14:paraId="11070738" w14:textId="77777777" w:rsidR="00F87CD2" w:rsidRPr="00F87CD2" w:rsidRDefault="00F87CD2" w:rsidP="00F87CD2">
      <w:pPr>
        <w:pStyle w:val="Prrafodelista"/>
        <w:numPr>
          <w:ilvl w:val="0"/>
          <w:numId w:val="20"/>
        </w:numPr>
        <w:spacing w:after="160" w:line="256" w:lineRule="auto"/>
        <w:ind w:left="567" w:hanging="567"/>
        <w:jc w:val="both"/>
        <w:rPr>
          <w:rFonts w:ascii="Arial" w:eastAsia="Calibri" w:hAnsi="Arial" w:cs="Arial"/>
          <w:color w:val="000000"/>
          <w:szCs w:val="22"/>
          <w:lang w:eastAsia="es-CR"/>
        </w:rPr>
      </w:pPr>
      <w:r w:rsidRPr="00F87CD2">
        <w:rPr>
          <w:rFonts w:ascii="Arial" w:eastAsia="Calibri" w:hAnsi="Arial" w:cs="Arial"/>
          <w:color w:val="000000"/>
          <w:szCs w:val="22"/>
          <w:lang w:eastAsia="es-CR"/>
        </w:rPr>
        <w:t xml:space="preserve">Se modifica integralmente el </w:t>
      </w:r>
      <w:r w:rsidRPr="00F87CD2">
        <w:rPr>
          <w:rFonts w:ascii="Arial" w:eastAsia="Calibri" w:hAnsi="Arial" w:cs="Arial"/>
          <w:b/>
          <w:bCs/>
          <w:color w:val="000000"/>
          <w:szCs w:val="22"/>
          <w:lang w:eastAsia="es-CR"/>
        </w:rPr>
        <w:t>Anexo 62 Reporte de Servicios de Intermediación de Valores</w:t>
      </w:r>
      <w:r w:rsidRPr="00F87CD2">
        <w:rPr>
          <w:rFonts w:ascii="Arial" w:eastAsia="Calibri" w:hAnsi="Arial" w:cs="Arial"/>
          <w:color w:val="000000"/>
          <w:szCs w:val="22"/>
          <w:lang w:eastAsia="es-CR"/>
        </w:rPr>
        <w:t xml:space="preserve"> y su instructivo, en línea con el Reglamento de Intermediación y Actividades Complementarias, de la siguiente manera:</w:t>
      </w:r>
    </w:p>
    <w:tbl>
      <w:tblPr>
        <w:tblW w:w="10065" w:type="dxa"/>
        <w:tblInd w:w="-572" w:type="dxa"/>
        <w:tblCellMar>
          <w:left w:w="70" w:type="dxa"/>
          <w:right w:w="70" w:type="dxa"/>
        </w:tblCellMar>
        <w:tblLook w:val="04A0" w:firstRow="1" w:lastRow="0" w:firstColumn="1" w:lastColumn="0" w:noHBand="0" w:noVBand="1"/>
      </w:tblPr>
      <w:tblGrid>
        <w:gridCol w:w="1276"/>
        <w:gridCol w:w="1134"/>
        <w:gridCol w:w="7655"/>
      </w:tblGrid>
      <w:tr w:rsidR="00F87CD2" w:rsidRPr="00F87CD2" w14:paraId="6547300F" w14:textId="77777777" w:rsidTr="00F87CD2">
        <w:trPr>
          <w:trHeight w:val="450"/>
          <w:tblHeader/>
        </w:trPr>
        <w:tc>
          <w:tcPr>
            <w:tcW w:w="1276" w:type="dxa"/>
            <w:tcBorders>
              <w:top w:val="single" w:sz="4" w:space="0" w:color="auto"/>
              <w:left w:val="single" w:sz="4" w:space="0" w:color="auto"/>
              <w:bottom w:val="single" w:sz="4" w:space="0" w:color="auto"/>
              <w:right w:val="single" w:sz="4" w:space="0" w:color="auto"/>
            </w:tcBorders>
            <w:vAlign w:val="center"/>
            <w:hideMark/>
          </w:tcPr>
          <w:p w14:paraId="55ACBCD2"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Catálogo</w:t>
            </w:r>
          </w:p>
        </w:tc>
        <w:tc>
          <w:tcPr>
            <w:tcW w:w="1134" w:type="dxa"/>
            <w:tcBorders>
              <w:top w:val="single" w:sz="4" w:space="0" w:color="auto"/>
              <w:left w:val="nil"/>
              <w:bottom w:val="single" w:sz="4" w:space="0" w:color="auto"/>
              <w:right w:val="single" w:sz="4" w:space="0" w:color="auto"/>
            </w:tcBorders>
            <w:vAlign w:val="center"/>
            <w:hideMark/>
          </w:tcPr>
          <w:p w14:paraId="5ED49715"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Cuenta</w:t>
            </w:r>
          </w:p>
        </w:tc>
        <w:tc>
          <w:tcPr>
            <w:tcW w:w="7655" w:type="dxa"/>
            <w:tcBorders>
              <w:top w:val="single" w:sz="4" w:space="0" w:color="auto"/>
              <w:left w:val="nil"/>
              <w:bottom w:val="single" w:sz="4" w:space="0" w:color="auto"/>
              <w:right w:val="single" w:sz="4" w:space="0" w:color="auto"/>
            </w:tcBorders>
            <w:vAlign w:val="center"/>
            <w:hideMark/>
          </w:tcPr>
          <w:p w14:paraId="1CB4F5D2"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Nombre</w:t>
            </w:r>
          </w:p>
        </w:tc>
      </w:tr>
      <w:tr w:rsidR="00F87CD2" w:rsidRPr="00F87CD2" w14:paraId="709A9AD1"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770BA72E"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151999F5"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rPr>
              <w:t>1000</w:t>
            </w:r>
          </w:p>
        </w:tc>
        <w:tc>
          <w:tcPr>
            <w:tcW w:w="7655" w:type="dxa"/>
            <w:tcBorders>
              <w:top w:val="nil"/>
              <w:left w:val="nil"/>
              <w:bottom w:val="single" w:sz="4" w:space="0" w:color="auto"/>
              <w:right w:val="single" w:sz="4" w:space="0" w:color="auto"/>
            </w:tcBorders>
            <w:noWrap/>
            <w:hideMark/>
          </w:tcPr>
          <w:p w14:paraId="1234046E"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Cantidad de cuentas valor activas únicamente con contrato de ejecución de órdenes</w:t>
            </w:r>
          </w:p>
        </w:tc>
      </w:tr>
      <w:tr w:rsidR="00F87CD2" w:rsidRPr="00F87CD2" w14:paraId="605E5776"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7632403B"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00D6FE77"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1001</w:t>
            </w:r>
          </w:p>
        </w:tc>
        <w:tc>
          <w:tcPr>
            <w:tcW w:w="7655" w:type="dxa"/>
            <w:tcBorders>
              <w:top w:val="nil"/>
              <w:left w:val="nil"/>
              <w:bottom w:val="single" w:sz="4" w:space="0" w:color="auto"/>
              <w:right w:val="single" w:sz="4" w:space="0" w:color="auto"/>
            </w:tcBorders>
            <w:noWrap/>
            <w:hideMark/>
          </w:tcPr>
          <w:p w14:paraId="52ECC56A"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Cantidad de cuentas valor activas únicamente con contrato de ejecución de órdenes con perfil profesional </w:t>
            </w:r>
          </w:p>
        </w:tc>
      </w:tr>
      <w:tr w:rsidR="00F87CD2" w:rsidRPr="00F87CD2" w14:paraId="657DC532"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1E4E3B03"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3A3AA035"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1002</w:t>
            </w:r>
          </w:p>
        </w:tc>
        <w:tc>
          <w:tcPr>
            <w:tcW w:w="7655" w:type="dxa"/>
            <w:tcBorders>
              <w:top w:val="nil"/>
              <w:left w:val="nil"/>
              <w:bottom w:val="single" w:sz="4" w:space="0" w:color="auto"/>
              <w:right w:val="single" w:sz="4" w:space="0" w:color="auto"/>
            </w:tcBorders>
            <w:noWrap/>
            <w:hideMark/>
          </w:tcPr>
          <w:p w14:paraId="7620DAFB"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Cantidad de cuentas valor activas únicamente con contratos de ejecución de órdenes con perfil no profesional</w:t>
            </w:r>
          </w:p>
        </w:tc>
      </w:tr>
      <w:tr w:rsidR="00F87CD2" w:rsidRPr="00F87CD2" w14:paraId="7E35599D"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2502EC4D"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7C301757"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1100</w:t>
            </w:r>
          </w:p>
        </w:tc>
        <w:tc>
          <w:tcPr>
            <w:tcW w:w="7655" w:type="dxa"/>
            <w:tcBorders>
              <w:top w:val="nil"/>
              <w:left w:val="nil"/>
              <w:bottom w:val="single" w:sz="4" w:space="0" w:color="auto"/>
              <w:right w:val="single" w:sz="4" w:space="0" w:color="auto"/>
            </w:tcBorders>
            <w:noWrap/>
            <w:hideMark/>
          </w:tcPr>
          <w:p w14:paraId="5BFC6ED9"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Ingresos brutos por los servicios de ejecución de órdenes</w:t>
            </w:r>
          </w:p>
        </w:tc>
      </w:tr>
      <w:tr w:rsidR="00F87CD2" w:rsidRPr="00F87CD2" w14:paraId="5FE72979"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5FBBD39E"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43B250B4"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1101</w:t>
            </w:r>
          </w:p>
        </w:tc>
        <w:tc>
          <w:tcPr>
            <w:tcW w:w="7655" w:type="dxa"/>
            <w:tcBorders>
              <w:top w:val="nil"/>
              <w:left w:val="nil"/>
              <w:bottom w:val="single" w:sz="4" w:space="0" w:color="auto"/>
              <w:right w:val="single" w:sz="4" w:space="0" w:color="auto"/>
            </w:tcBorders>
            <w:noWrap/>
            <w:hideMark/>
          </w:tcPr>
          <w:p w14:paraId="2ACEF058"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los servicios de ejecución de órdenes con partes no relacionadas</w:t>
            </w:r>
          </w:p>
        </w:tc>
      </w:tr>
      <w:tr w:rsidR="00F87CD2" w:rsidRPr="00F87CD2" w14:paraId="58C56340"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422EE810"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1C89973D"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1102</w:t>
            </w:r>
          </w:p>
        </w:tc>
        <w:tc>
          <w:tcPr>
            <w:tcW w:w="7655" w:type="dxa"/>
            <w:tcBorders>
              <w:top w:val="nil"/>
              <w:left w:val="nil"/>
              <w:bottom w:val="single" w:sz="4" w:space="0" w:color="auto"/>
              <w:right w:val="single" w:sz="4" w:space="0" w:color="auto"/>
            </w:tcBorders>
            <w:noWrap/>
            <w:hideMark/>
          </w:tcPr>
          <w:p w14:paraId="657BC870"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los servicios de ejecución de órdenes con partes relacionadas</w:t>
            </w:r>
          </w:p>
        </w:tc>
      </w:tr>
      <w:tr w:rsidR="00F87CD2" w:rsidRPr="00F87CD2" w14:paraId="421817AE"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277D840A"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153F3BCB"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2000</w:t>
            </w:r>
          </w:p>
        </w:tc>
        <w:tc>
          <w:tcPr>
            <w:tcW w:w="7655" w:type="dxa"/>
            <w:tcBorders>
              <w:top w:val="nil"/>
              <w:left w:val="nil"/>
              <w:bottom w:val="single" w:sz="4" w:space="0" w:color="auto"/>
              <w:right w:val="single" w:sz="4" w:space="0" w:color="auto"/>
            </w:tcBorders>
            <w:noWrap/>
            <w:hideMark/>
          </w:tcPr>
          <w:p w14:paraId="35E58B27"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Cantidad de cuentas valor activas con contrato de gestión de portafolios</w:t>
            </w:r>
          </w:p>
        </w:tc>
      </w:tr>
      <w:tr w:rsidR="00F87CD2" w:rsidRPr="00F87CD2" w14:paraId="62AFC49C"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3151571D"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1887B267"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2001</w:t>
            </w:r>
          </w:p>
        </w:tc>
        <w:tc>
          <w:tcPr>
            <w:tcW w:w="7655" w:type="dxa"/>
            <w:tcBorders>
              <w:top w:val="nil"/>
              <w:left w:val="nil"/>
              <w:bottom w:val="single" w:sz="4" w:space="0" w:color="auto"/>
              <w:right w:val="single" w:sz="4" w:space="0" w:color="auto"/>
            </w:tcBorders>
            <w:noWrap/>
            <w:hideMark/>
          </w:tcPr>
          <w:p w14:paraId="28D3DC1B"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Cantidad de cuentas valor activas con contrato de gestión de portafolios con perfil profesional </w:t>
            </w:r>
          </w:p>
        </w:tc>
      </w:tr>
      <w:tr w:rsidR="00F87CD2" w:rsidRPr="00F87CD2" w14:paraId="05A5DF05"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0C16757C"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54A5BD3C"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2002</w:t>
            </w:r>
          </w:p>
        </w:tc>
        <w:tc>
          <w:tcPr>
            <w:tcW w:w="7655" w:type="dxa"/>
            <w:tcBorders>
              <w:top w:val="nil"/>
              <w:left w:val="nil"/>
              <w:bottom w:val="single" w:sz="4" w:space="0" w:color="auto"/>
              <w:right w:val="single" w:sz="4" w:space="0" w:color="auto"/>
            </w:tcBorders>
            <w:noWrap/>
            <w:hideMark/>
          </w:tcPr>
          <w:p w14:paraId="7559808F"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Cantidad de cuentas valor activas con contratos de gestión de portafolios con perfil no profesional</w:t>
            </w:r>
          </w:p>
        </w:tc>
      </w:tr>
      <w:tr w:rsidR="00F87CD2" w:rsidRPr="00F87CD2" w14:paraId="485FCD34"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47697A0A"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347BA674"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2100</w:t>
            </w:r>
          </w:p>
        </w:tc>
        <w:tc>
          <w:tcPr>
            <w:tcW w:w="7655" w:type="dxa"/>
            <w:tcBorders>
              <w:top w:val="nil"/>
              <w:left w:val="nil"/>
              <w:bottom w:val="single" w:sz="4" w:space="0" w:color="auto"/>
              <w:right w:val="single" w:sz="4" w:space="0" w:color="auto"/>
            </w:tcBorders>
            <w:noWrap/>
            <w:hideMark/>
          </w:tcPr>
          <w:p w14:paraId="06AD7B4C"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Ingresos brutos por los servicios de gestión de portafolios</w:t>
            </w:r>
          </w:p>
        </w:tc>
      </w:tr>
      <w:tr w:rsidR="00F87CD2" w:rsidRPr="00F87CD2" w14:paraId="12A7CCB8"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1E501F61"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02D09DC4"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2101</w:t>
            </w:r>
          </w:p>
        </w:tc>
        <w:tc>
          <w:tcPr>
            <w:tcW w:w="7655" w:type="dxa"/>
            <w:tcBorders>
              <w:top w:val="nil"/>
              <w:left w:val="nil"/>
              <w:bottom w:val="single" w:sz="4" w:space="0" w:color="auto"/>
              <w:right w:val="single" w:sz="4" w:space="0" w:color="auto"/>
            </w:tcBorders>
            <w:noWrap/>
            <w:hideMark/>
          </w:tcPr>
          <w:p w14:paraId="18410D4C"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los servicios de gestión de portafolios con partes no relacionadas</w:t>
            </w:r>
          </w:p>
        </w:tc>
      </w:tr>
      <w:tr w:rsidR="00F87CD2" w:rsidRPr="00F87CD2" w14:paraId="480C5D4E"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4A656A7D"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2FB3075E"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2102</w:t>
            </w:r>
          </w:p>
        </w:tc>
        <w:tc>
          <w:tcPr>
            <w:tcW w:w="7655" w:type="dxa"/>
            <w:tcBorders>
              <w:top w:val="nil"/>
              <w:left w:val="nil"/>
              <w:bottom w:val="single" w:sz="4" w:space="0" w:color="auto"/>
              <w:right w:val="single" w:sz="4" w:space="0" w:color="auto"/>
            </w:tcBorders>
            <w:noWrap/>
            <w:hideMark/>
          </w:tcPr>
          <w:p w14:paraId="022E5F58"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los servicios de gestión de portafolios con partes relacionadas</w:t>
            </w:r>
          </w:p>
        </w:tc>
      </w:tr>
      <w:tr w:rsidR="00F87CD2" w:rsidRPr="00F87CD2" w14:paraId="3CB6292F"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1D6444DE"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2AB2C6BA"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2500</w:t>
            </w:r>
          </w:p>
        </w:tc>
        <w:tc>
          <w:tcPr>
            <w:tcW w:w="7655" w:type="dxa"/>
            <w:tcBorders>
              <w:top w:val="nil"/>
              <w:left w:val="nil"/>
              <w:bottom w:val="single" w:sz="4" w:space="0" w:color="auto"/>
              <w:right w:val="single" w:sz="4" w:space="0" w:color="auto"/>
            </w:tcBorders>
            <w:noWrap/>
            <w:hideMark/>
          </w:tcPr>
          <w:p w14:paraId="277E8B63"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 xml:space="preserve">Activos administrados bajo contratos de gestión de portafolios o carteras individuales </w:t>
            </w:r>
          </w:p>
        </w:tc>
      </w:tr>
      <w:tr w:rsidR="00F87CD2" w:rsidRPr="00F87CD2" w14:paraId="1D864E35"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3356D035"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lastRenderedPageBreak/>
              <w:t>SI_PB</w:t>
            </w:r>
          </w:p>
        </w:tc>
        <w:tc>
          <w:tcPr>
            <w:tcW w:w="1134" w:type="dxa"/>
            <w:tcBorders>
              <w:top w:val="nil"/>
              <w:left w:val="nil"/>
              <w:bottom w:val="single" w:sz="4" w:space="0" w:color="auto"/>
              <w:right w:val="single" w:sz="4" w:space="0" w:color="auto"/>
            </w:tcBorders>
            <w:noWrap/>
            <w:vAlign w:val="center"/>
            <w:hideMark/>
          </w:tcPr>
          <w:p w14:paraId="247E5CD1"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2501</w:t>
            </w:r>
          </w:p>
        </w:tc>
        <w:tc>
          <w:tcPr>
            <w:tcW w:w="7655" w:type="dxa"/>
            <w:tcBorders>
              <w:top w:val="nil"/>
              <w:left w:val="nil"/>
              <w:bottom w:val="single" w:sz="4" w:space="0" w:color="auto"/>
              <w:right w:val="single" w:sz="4" w:space="0" w:color="auto"/>
            </w:tcBorders>
            <w:noWrap/>
            <w:hideMark/>
          </w:tcPr>
          <w:p w14:paraId="1EBB966B"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Activos administrados bajo contratos de gestión de portafolios o carteras individuales con perfil profesional</w:t>
            </w:r>
          </w:p>
        </w:tc>
      </w:tr>
      <w:tr w:rsidR="00F87CD2" w:rsidRPr="00F87CD2" w14:paraId="6882B124"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4472F7BC"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0996AEC8"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2502</w:t>
            </w:r>
          </w:p>
        </w:tc>
        <w:tc>
          <w:tcPr>
            <w:tcW w:w="7655" w:type="dxa"/>
            <w:tcBorders>
              <w:top w:val="nil"/>
              <w:left w:val="nil"/>
              <w:bottom w:val="single" w:sz="4" w:space="0" w:color="auto"/>
              <w:right w:val="single" w:sz="4" w:space="0" w:color="auto"/>
            </w:tcBorders>
            <w:noWrap/>
            <w:hideMark/>
          </w:tcPr>
          <w:p w14:paraId="74BBED12"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Activos administrados bajo contratos de gestión de portafolios o carteras individuales con perfil no profesional</w:t>
            </w:r>
          </w:p>
        </w:tc>
      </w:tr>
      <w:tr w:rsidR="00F87CD2" w:rsidRPr="00F87CD2" w14:paraId="08D12E91"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78D2979A"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420EF3DE"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3000</w:t>
            </w:r>
          </w:p>
        </w:tc>
        <w:tc>
          <w:tcPr>
            <w:tcW w:w="7655" w:type="dxa"/>
            <w:tcBorders>
              <w:top w:val="nil"/>
              <w:left w:val="nil"/>
              <w:bottom w:val="single" w:sz="4" w:space="0" w:color="auto"/>
              <w:right w:val="single" w:sz="4" w:space="0" w:color="auto"/>
            </w:tcBorders>
            <w:noWrap/>
            <w:hideMark/>
          </w:tcPr>
          <w:p w14:paraId="52AE6E7A"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Cantidad de cuentas valor con contrato de recepción automatizada de órdenes</w:t>
            </w:r>
          </w:p>
        </w:tc>
      </w:tr>
      <w:tr w:rsidR="00F87CD2" w:rsidRPr="00F87CD2" w14:paraId="233D1281"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5BF427E6"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40AB7760"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3100</w:t>
            </w:r>
          </w:p>
        </w:tc>
        <w:tc>
          <w:tcPr>
            <w:tcW w:w="7655" w:type="dxa"/>
            <w:tcBorders>
              <w:top w:val="nil"/>
              <w:left w:val="nil"/>
              <w:bottom w:val="single" w:sz="4" w:space="0" w:color="auto"/>
              <w:right w:val="single" w:sz="4" w:space="0" w:color="auto"/>
            </w:tcBorders>
            <w:noWrap/>
            <w:hideMark/>
          </w:tcPr>
          <w:p w14:paraId="0D0F6908"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Ingresos brutos por los servicios de recepción automatizada de órdenes</w:t>
            </w:r>
          </w:p>
        </w:tc>
      </w:tr>
      <w:tr w:rsidR="00F87CD2" w:rsidRPr="00F87CD2" w14:paraId="37AEF3C3"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78FB93FC"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6669226E"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3101</w:t>
            </w:r>
          </w:p>
        </w:tc>
        <w:tc>
          <w:tcPr>
            <w:tcW w:w="7655" w:type="dxa"/>
            <w:tcBorders>
              <w:top w:val="nil"/>
              <w:left w:val="nil"/>
              <w:bottom w:val="single" w:sz="4" w:space="0" w:color="auto"/>
              <w:right w:val="single" w:sz="4" w:space="0" w:color="auto"/>
            </w:tcBorders>
            <w:noWrap/>
            <w:hideMark/>
          </w:tcPr>
          <w:p w14:paraId="6A5AC7C6"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los servicios de recepción automatizada de órdenes con partes no relacionadas</w:t>
            </w:r>
          </w:p>
        </w:tc>
      </w:tr>
      <w:tr w:rsidR="00F87CD2" w:rsidRPr="00F87CD2" w14:paraId="7694E3D9"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4DCA4AD8"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64A6137D"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3102</w:t>
            </w:r>
          </w:p>
        </w:tc>
        <w:tc>
          <w:tcPr>
            <w:tcW w:w="7655" w:type="dxa"/>
            <w:tcBorders>
              <w:top w:val="nil"/>
              <w:left w:val="nil"/>
              <w:bottom w:val="single" w:sz="4" w:space="0" w:color="auto"/>
              <w:right w:val="single" w:sz="4" w:space="0" w:color="auto"/>
            </w:tcBorders>
            <w:noWrap/>
            <w:hideMark/>
          </w:tcPr>
          <w:p w14:paraId="52468624"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los servicios de recepción automatizada de órdenes con partes relacionadas</w:t>
            </w:r>
          </w:p>
        </w:tc>
      </w:tr>
      <w:tr w:rsidR="00F87CD2" w:rsidRPr="00F87CD2" w14:paraId="425CE5CC"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48F5F4B1"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1EB903B1"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3500</w:t>
            </w:r>
          </w:p>
        </w:tc>
        <w:tc>
          <w:tcPr>
            <w:tcW w:w="7655" w:type="dxa"/>
            <w:tcBorders>
              <w:top w:val="nil"/>
              <w:left w:val="nil"/>
              <w:bottom w:val="single" w:sz="4" w:space="0" w:color="auto"/>
              <w:right w:val="single" w:sz="4" w:space="0" w:color="auto"/>
            </w:tcBorders>
            <w:noWrap/>
            <w:hideMark/>
          </w:tcPr>
          <w:p w14:paraId="3ACF6B87"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Volumen negociado bajo el servicio de recepción automatizada de órdenes</w:t>
            </w:r>
          </w:p>
        </w:tc>
      </w:tr>
      <w:tr w:rsidR="00F87CD2" w:rsidRPr="00F87CD2" w14:paraId="73793A5F"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00E88F17"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74C61FDF"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4000</w:t>
            </w:r>
          </w:p>
        </w:tc>
        <w:tc>
          <w:tcPr>
            <w:tcW w:w="7655" w:type="dxa"/>
            <w:tcBorders>
              <w:top w:val="nil"/>
              <w:left w:val="nil"/>
              <w:bottom w:val="single" w:sz="4" w:space="0" w:color="auto"/>
              <w:right w:val="single" w:sz="4" w:space="0" w:color="auto"/>
            </w:tcBorders>
            <w:noWrap/>
            <w:hideMark/>
          </w:tcPr>
          <w:p w14:paraId="6FC1A8E5"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Cantidad de cuentas valor con contrato de acceso a plataformas de negociación directa</w:t>
            </w:r>
          </w:p>
        </w:tc>
      </w:tr>
      <w:tr w:rsidR="00F87CD2" w:rsidRPr="00F87CD2" w14:paraId="49F45C7C"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0CC13EFC"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6C99EF62"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4100</w:t>
            </w:r>
          </w:p>
        </w:tc>
        <w:tc>
          <w:tcPr>
            <w:tcW w:w="7655" w:type="dxa"/>
            <w:tcBorders>
              <w:top w:val="nil"/>
              <w:left w:val="nil"/>
              <w:bottom w:val="single" w:sz="4" w:space="0" w:color="auto"/>
              <w:right w:val="single" w:sz="4" w:space="0" w:color="auto"/>
            </w:tcBorders>
            <w:noWrap/>
            <w:hideMark/>
          </w:tcPr>
          <w:p w14:paraId="68817863"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Ingresos brutos por los servicios de acceso a plataformas de negociación directa</w:t>
            </w:r>
          </w:p>
        </w:tc>
      </w:tr>
      <w:tr w:rsidR="00F87CD2" w:rsidRPr="00F87CD2" w14:paraId="1FCF01B9"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3E8CD7D0"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3C402D71"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4101</w:t>
            </w:r>
          </w:p>
        </w:tc>
        <w:tc>
          <w:tcPr>
            <w:tcW w:w="7655" w:type="dxa"/>
            <w:tcBorders>
              <w:top w:val="nil"/>
              <w:left w:val="nil"/>
              <w:bottom w:val="single" w:sz="4" w:space="0" w:color="auto"/>
              <w:right w:val="single" w:sz="4" w:space="0" w:color="auto"/>
            </w:tcBorders>
            <w:noWrap/>
            <w:hideMark/>
          </w:tcPr>
          <w:p w14:paraId="051C0A97"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los servicios de acceso a plataformas de negociación directa con partes no relacionadas</w:t>
            </w:r>
          </w:p>
        </w:tc>
      </w:tr>
      <w:tr w:rsidR="00F87CD2" w:rsidRPr="00F87CD2" w14:paraId="3A077D2E"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6381D8E4"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076A95FF"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4102</w:t>
            </w:r>
          </w:p>
        </w:tc>
        <w:tc>
          <w:tcPr>
            <w:tcW w:w="7655" w:type="dxa"/>
            <w:tcBorders>
              <w:top w:val="nil"/>
              <w:left w:val="nil"/>
              <w:bottom w:val="single" w:sz="4" w:space="0" w:color="auto"/>
              <w:right w:val="single" w:sz="4" w:space="0" w:color="auto"/>
            </w:tcBorders>
            <w:noWrap/>
            <w:hideMark/>
          </w:tcPr>
          <w:p w14:paraId="1F091215"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los servicios de acceso a plataformas de negociación directa con partes relacionadas</w:t>
            </w:r>
          </w:p>
        </w:tc>
      </w:tr>
      <w:tr w:rsidR="00F87CD2" w:rsidRPr="00F87CD2" w14:paraId="74C0D926"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4C5A2779"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39A93E06"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4500</w:t>
            </w:r>
          </w:p>
        </w:tc>
        <w:tc>
          <w:tcPr>
            <w:tcW w:w="7655" w:type="dxa"/>
            <w:tcBorders>
              <w:top w:val="nil"/>
              <w:left w:val="nil"/>
              <w:bottom w:val="single" w:sz="4" w:space="0" w:color="auto"/>
              <w:right w:val="single" w:sz="4" w:space="0" w:color="auto"/>
            </w:tcBorders>
            <w:noWrap/>
            <w:hideMark/>
          </w:tcPr>
          <w:p w14:paraId="2CBD49B1"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Volumen negociado por los clientes bajo el servicio de plataformas de negociación directa</w:t>
            </w:r>
          </w:p>
        </w:tc>
      </w:tr>
      <w:tr w:rsidR="00F87CD2" w:rsidRPr="00F87CD2" w14:paraId="5C8715D4"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25577C72"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284DDBC9"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5000</w:t>
            </w:r>
          </w:p>
        </w:tc>
        <w:tc>
          <w:tcPr>
            <w:tcW w:w="7655" w:type="dxa"/>
            <w:tcBorders>
              <w:top w:val="nil"/>
              <w:left w:val="nil"/>
              <w:bottom w:val="single" w:sz="4" w:space="0" w:color="auto"/>
              <w:right w:val="single" w:sz="4" w:space="0" w:color="auto"/>
            </w:tcBorders>
            <w:noWrap/>
            <w:hideMark/>
          </w:tcPr>
          <w:p w14:paraId="4DF5749A"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Cantidad de cuentas valor con contrato de asesoría</w:t>
            </w:r>
          </w:p>
        </w:tc>
      </w:tr>
      <w:tr w:rsidR="00F87CD2" w:rsidRPr="00F87CD2" w14:paraId="5E4F20B8"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455D56B5"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28D43ECA"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5001</w:t>
            </w:r>
          </w:p>
        </w:tc>
        <w:tc>
          <w:tcPr>
            <w:tcW w:w="7655" w:type="dxa"/>
            <w:tcBorders>
              <w:top w:val="nil"/>
              <w:left w:val="nil"/>
              <w:bottom w:val="single" w:sz="4" w:space="0" w:color="auto"/>
              <w:right w:val="single" w:sz="4" w:space="0" w:color="auto"/>
            </w:tcBorders>
            <w:noWrap/>
            <w:hideMark/>
          </w:tcPr>
          <w:p w14:paraId="71798779"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Cantidad de cuentas valor activas con contratos de asesoría con perfil profesional</w:t>
            </w:r>
          </w:p>
        </w:tc>
      </w:tr>
      <w:tr w:rsidR="00F87CD2" w:rsidRPr="00F87CD2" w14:paraId="42C4551F"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1CA7251D"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53477D16"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5002</w:t>
            </w:r>
          </w:p>
        </w:tc>
        <w:tc>
          <w:tcPr>
            <w:tcW w:w="7655" w:type="dxa"/>
            <w:tcBorders>
              <w:top w:val="nil"/>
              <w:left w:val="nil"/>
              <w:bottom w:val="single" w:sz="4" w:space="0" w:color="auto"/>
              <w:right w:val="single" w:sz="4" w:space="0" w:color="auto"/>
            </w:tcBorders>
            <w:noWrap/>
            <w:hideMark/>
          </w:tcPr>
          <w:p w14:paraId="78968DA1"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Cantidad de cuentas valor activas con contratos de asesoría con perfil no profesional</w:t>
            </w:r>
          </w:p>
        </w:tc>
      </w:tr>
      <w:tr w:rsidR="00F87CD2" w:rsidRPr="00F87CD2" w14:paraId="3B9D1990"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01025504"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51842A42"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5100</w:t>
            </w:r>
          </w:p>
        </w:tc>
        <w:tc>
          <w:tcPr>
            <w:tcW w:w="7655" w:type="dxa"/>
            <w:tcBorders>
              <w:top w:val="nil"/>
              <w:left w:val="nil"/>
              <w:bottom w:val="single" w:sz="4" w:space="0" w:color="auto"/>
              <w:right w:val="single" w:sz="4" w:space="0" w:color="auto"/>
            </w:tcBorders>
            <w:noWrap/>
            <w:hideMark/>
          </w:tcPr>
          <w:p w14:paraId="5655FB78"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Ingresos brutos por los servicios de asesoría</w:t>
            </w:r>
          </w:p>
        </w:tc>
      </w:tr>
      <w:tr w:rsidR="00F87CD2" w:rsidRPr="00F87CD2" w14:paraId="72DAD45F"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14EA8387"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03C4A032"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5101</w:t>
            </w:r>
          </w:p>
        </w:tc>
        <w:tc>
          <w:tcPr>
            <w:tcW w:w="7655" w:type="dxa"/>
            <w:tcBorders>
              <w:top w:val="nil"/>
              <w:left w:val="nil"/>
              <w:bottom w:val="single" w:sz="4" w:space="0" w:color="auto"/>
              <w:right w:val="single" w:sz="4" w:space="0" w:color="auto"/>
            </w:tcBorders>
            <w:noWrap/>
            <w:hideMark/>
          </w:tcPr>
          <w:p w14:paraId="294262F3"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los servicios de asesoría con partes no relacionadas</w:t>
            </w:r>
          </w:p>
        </w:tc>
      </w:tr>
      <w:tr w:rsidR="00F87CD2" w:rsidRPr="00F87CD2" w14:paraId="39745939"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50124762"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684952A4"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5102</w:t>
            </w:r>
          </w:p>
        </w:tc>
        <w:tc>
          <w:tcPr>
            <w:tcW w:w="7655" w:type="dxa"/>
            <w:tcBorders>
              <w:top w:val="nil"/>
              <w:left w:val="nil"/>
              <w:bottom w:val="single" w:sz="4" w:space="0" w:color="auto"/>
              <w:right w:val="single" w:sz="4" w:space="0" w:color="auto"/>
            </w:tcBorders>
            <w:noWrap/>
            <w:hideMark/>
          </w:tcPr>
          <w:p w14:paraId="5FF447D3"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los servicios de asesorías con partes relacionadas</w:t>
            </w:r>
          </w:p>
        </w:tc>
      </w:tr>
      <w:tr w:rsidR="00F87CD2" w:rsidRPr="00F87CD2" w14:paraId="505B1393"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3F8FA4F1"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04B7851A"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6000</w:t>
            </w:r>
          </w:p>
        </w:tc>
        <w:tc>
          <w:tcPr>
            <w:tcW w:w="7655" w:type="dxa"/>
            <w:tcBorders>
              <w:top w:val="nil"/>
              <w:left w:val="nil"/>
              <w:bottom w:val="single" w:sz="4" w:space="0" w:color="auto"/>
              <w:right w:val="single" w:sz="4" w:space="0" w:color="auto"/>
            </w:tcBorders>
            <w:noWrap/>
            <w:hideMark/>
          </w:tcPr>
          <w:p w14:paraId="0F79D7DE" w14:textId="77777777" w:rsidR="00F87CD2" w:rsidRPr="00F87CD2" w:rsidRDefault="00F87CD2">
            <w:pPr>
              <w:rPr>
                <w:rFonts w:ascii="Arial" w:hAnsi="Arial" w:cs="Arial"/>
                <w:b/>
                <w:bCs/>
                <w:color w:val="000000"/>
                <w:szCs w:val="22"/>
                <w:highlight w:val="yellow"/>
                <w:lang w:val="es-CR" w:eastAsia="es-CR"/>
              </w:rPr>
            </w:pPr>
            <w:r w:rsidRPr="00F87CD2">
              <w:rPr>
                <w:rFonts w:ascii="Arial" w:hAnsi="Arial" w:cs="Arial"/>
                <w:b/>
                <w:bCs/>
                <w:szCs w:val="22"/>
                <w:lang w:val="es-CR"/>
              </w:rPr>
              <w:t>Cantidad de emisores de Oferta privada vigentes, según las aprobaciones requeridas en el artículo 12 del Reglamento de Intermediación y Actividades Complementarias</w:t>
            </w:r>
          </w:p>
        </w:tc>
      </w:tr>
      <w:tr w:rsidR="00F87CD2" w:rsidRPr="00F87CD2" w14:paraId="7B25D809"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510AC385"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24FBAC58"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6100</w:t>
            </w:r>
          </w:p>
        </w:tc>
        <w:tc>
          <w:tcPr>
            <w:tcW w:w="7655" w:type="dxa"/>
            <w:tcBorders>
              <w:top w:val="nil"/>
              <w:left w:val="nil"/>
              <w:bottom w:val="single" w:sz="4" w:space="0" w:color="auto"/>
              <w:right w:val="single" w:sz="4" w:space="0" w:color="auto"/>
            </w:tcBorders>
            <w:noWrap/>
            <w:hideMark/>
          </w:tcPr>
          <w:p w14:paraId="660F7C71"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Saldo en emisiones de Oferta privada colocadas a inversionistas y en custodia al cierre del periodo</w:t>
            </w:r>
          </w:p>
        </w:tc>
      </w:tr>
      <w:tr w:rsidR="00F87CD2" w:rsidRPr="00F87CD2" w14:paraId="67C50E34"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75DDBB11"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565E674C"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6200</w:t>
            </w:r>
          </w:p>
        </w:tc>
        <w:tc>
          <w:tcPr>
            <w:tcW w:w="7655" w:type="dxa"/>
            <w:tcBorders>
              <w:top w:val="nil"/>
              <w:left w:val="nil"/>
              <w:bottom w:val="single" w:sz="4" w:space="0" w:color="auto"/>
              <w:right w:val="single" w:sz="4" w:space="0" w:color="auto"/>
            </w:tcBorders>
            <w:noWrap/>
            <w:hideMark/>
          </w:tcPr>
          <w:p w14:paraId="7EADACA4"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Cantidad de cuentas valor con emisiones de oferta privada vigentes</w:t>
            </w:r>
          </w:p>
        </w:tc>
      </w:tr>
      <w:tr w:rsidR="00F87CD2" w:rsidRPr="00F87CD2" w14:paraId="39F69EB6"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0DBEE032"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6EABA8F1"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6500</w:t>
            </w:r>
          </w:p>
        </w:tc>
        <w:tc>
          <w:tcPr>
            <w:tcW w:w="7655" w:type="dxa"/>
            <w:tcBorders>
              <w:top w:val="nil"/>
              <w:left w:val="nil"/>
              <w:bottom w:val="single" w:sz="4" w:space="0" w:color="auto"/>
              <w:right w:val="single" w:sz="4" w:space="0" w:color="auto"/>
            </w:tcBorders>
            <w:noWrap/>
            <w:hideMark/>
          </w:tcPr>
          <w:p w14:paraId="4A7D0A08"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Volumen total colocado por emisores de oferta privada en el período</w:t>
            </w:r>
          </w:p>
        </w:tc>
      </w:tr>
      <w:tr w:rsidR="00F87CD2" w:rsidRPr="00F87CD2" w14:paraId="47F3C8AB"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453382BC"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642B3F3C"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6700</w:t>
            </w:r>
          </w:p>
        </w:tc>
        <w:tc>
          <w:tcPr>
            <w:tcW w:w="7655" w:type="dxa"/>
            <w:tcBorders>
              <w:top w:val="nil"/>
              <w:left w:val="nil"/>
              <w:bottom w:val="single" w:sz="4" w:space="0" w:color="auto"/>
              <w:right w:val="single" w:sz="4" w:space="0" w:color="auto"/>
            </w:tcBorders>
            <w:noWrap/>
            <w:hideMark/>
          </w:tcPr>
          <w:p w14:paraId="6A25D1F0"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Ingresos brutos por las colocaciones de emisiones de oferta privada</w:t>
            </w:r>
          </w:p>
        </w:tc>
      </w:tr>
      <w:tr w:rsidR="00F87CD2" w:rsidRPr="00F87CD2" w14:paraId="096199AF"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6E6611D9"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5CC7A7D8"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7000</w:t>
            </w:r>
          </w:p>
        </w:tc>
        <w:tc>
          <w:tcPr>
            <w:tcW w:w="7655" w:type="dxa"/>
            <w:tcBorders>
              <w:top w:val="nil"/>
              <w:left w:val="nil"/>
              <w:bottom w:val="single" w:sz="4" w:space="0" w:color="auto"/>
              <w:right w:val="single" w:sz="4" w:space="0" w:color="auto"/>
            </w:tcBorders>
            <w:noWrap/>
            <w:hideMark/>
          </w:tcPr>
          <w:p w14:paraId="727EE69A"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Cantidad de contratos de referimiento vigentes</w:t>
            </w:r>
          </w:p>
        </w:tc>
      </w:tr>
      <w:tr w:rsidR="00F87CD2" w:rsidRPr="00F87CD2" w14:paraId="12A097D2"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00518C3F"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537DECCE"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7001</w:t>
            </w:r>
          </w:p>
        </w:tc>
        <w:tc>
          <w:tcPr>
            <w:tcW w:w="7655" w:type="dxa"/>
            <w:tcBorders>
              <w:top w:val="single" w:sz="4" w:space="0" w:color="auto"/>
              <w:left w:val="nil"/>
              <w:bottom w:val="single" w:sz="4" w:space="0" w:color="auto"/>
              <w:right w:val="single" w:sz="4" w:space="0" w:color="auto"/>
            </w:tcBorders>
            <w:noWrap/>
            <w:vAlign w:val="bottom"/>
            <w:hideMark/>
          </w:tcPr>
          <w:p w14:paraId="20F28337"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Cantidad de contratos de referimiento vigentes a partes no relacionadas</w:t>
            </w:r>
          </w:p>
        </w:tc>
      </w:tr>
      <w:tr w:rsidR="00F87CD2" w:rsidRPr="00F87CD2" w14:paraId="7C373FDC"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35ED07AA"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614BDD52"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7002</w:t>
            </w:r>
          </w:p>
        </w:tc>
        <w:tc>
          <w:tcPr>
            <w:tcW w:w="7655" w:type="dxa"/>
            <w:tcBorders>
              <w:top w:val="single" w:sz="4" w:space="0" w:color="auto"/>
              <w:left w:val="nil"/>
              <w:bottom w:val="single" w:sz="4" w:space="0" w:color="auto"/>
              <w:right w:val="single" w:sz="4" w:space="0" w:color="auto"/>
            </w:tcBorders>
            <w:noWrap/>
            <w:vAlign w:val="bottom"/>
            <w:hideMark/>
          </w:tcPr>
          <w:p w14:paraId="36768774"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Cantidad de contratos de referimiento vigentes a partes relacionadas</w:t>
            </w:r>
          </w:p>
        </w:tc>
      </w:tr>
      <w:tr w:rsidR="00F87CD2" w:rsidRPr="00F87CD2" w14:paraId="247D9C53"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6E99C924"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1CC64B6A"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7100</w:t>
            </w:r>
          </w:p>
        </w:tc>
        <w:tc>
          <w:tcPr>
            <w:tcW w:w="7655" w:type="dxa"/>
            <w:tcBorders>
              <w:top w:val="single" w:sz="4" w:space="0" w:color="auto"/>
              <w:left w:val="nil"/>
              <w:bottom w:val="single" w:sz="4" w:space="0" w:color="auto"/>
              <w:right w:val="single" w:sz="4" w:space="0" w:color="auto"/>
            </w:tcBorders>
            <w:noWrap/>
            <w:hideMark/>
          </w:tcPr>
          <w:p w14:paraId="7E47D32F"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Cantidad de clientes referidos</w:t>
            </w:r>
          </w:p>
        </w:tc>
      </w:tr>
      <w:tr w:rsidR="00F87CD2" w:rsidRPr="00F87CD2" w14:paraId="028FA3F6"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01E2E583"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788B7F65"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7101</w:t>
            </w:r>
          </w:p>
        </w:tc>
        <w:tc>
          <w:tcPr>
            <w:tcW w:w="7655" w:type="dxa"/>
            <w:tcBorders>
              <w:top w:val="single" w:sz="4" w:space="0" w:color="auto"/>
              <w:left w:val="nil"/>
              <w:bottom w:val="single" w:sz="4" w:space="0" w:color="auto"/>
              <w:right w:val="single" w:sz="4" w:space="0" w:color="auto"/>
            </w:tcBorders>
            <w:noWrap/>
            <w:vAlign w:val="bottom"/>
            <w:hideMark/>
          </w:tcPr>
          <w:p w14:paraId="1AA3375D"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Cantidad de clientes referidos a partes no relacionadas</w:t>
            </w:r>
          </w:p>
        </w:tc>
      </w:tr>
      <w:tr w:rsidR="00F87CD2" w:rsidRPr="00F87CD2" w14:paraId="2D53E0BE"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5B91B82E"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lastRenderedPageBreak/>
              <w:t>SI_PB</w:t>
            </w:r>
          </w:p>
        </w:tc>
        <w:tc>
          <w:tcPr>
            <w:tcW w:w="1134" w:type="dxa"/>
            <w:tcBorders>
              <w:top w:val="nil"/>
              <w:left w:val="nil"/>
              <w:bottom w:val="single" w:sz="4" w:space="0" w:color="auto"/>
              <w:right w:val="single" w:sz="4" w:space="0" w:color="auto"/>
            </w:tcBorders>
            <w:noWrap/>
            <w:vAlign w:val="center"/>
            <w:hideMark/>
          </w:tcPr>
          <w:p w14:paraId="0053B62D"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7102</w:t>
            </w:r>
          </w:p>
        </w:tc>
        <w:tc>
          <w:tcPr>
            <w:tcW w:w="7655" w:type="dxa"/>
            <w:tcBorders>
              <w:top w:val="single" w:sz="4" w:space="0" w:color="auto"/>
              <w:left w:val="nil"/>
              <w:bottom w:val="single" w:sz="4" w:space="0" w:color="auto"/>
              <w:right w:val="single" w:sz="4" w:space="0" w:color="auto"/>
            </w:tcBorders>
            <w:noWrap/>
            <w:vAlign w:val="bottom"/>
            <w:hideMark/>
          </w:tcPr>
          <w:p w14:paraId="26809153"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Cantidad de clientes referidos a partes relacionadas</w:t>
            </w:r>
          </w:p>
        </w:tc>
      </w:tr>
      <w:tr w:rsidR="00F87CD2" w:rsidRPr="00F87CD2" w14:paraId="61A37067"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05E194BF"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3A140DF2"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7200</w:t>
            </w:r>
          </w:p>
        </w:tc>
        <w:tc>
          <w:tcPr>
            <w:tcW w:w="7655" w:type="dxa"/>
            <w:tcBorders>
              <w:top w:val="single" w:sz="4" w:space="0" w:color="auto"/>
              <w:left w:val="nil"/>
              <w:bottom w:val="single" w:sz="4" w:space="0" w:color="auto"/>
              <w:right w:val="single" w:sz="4" w:space="0" w:color="auto"/>
            </w:tcBorders>
            <w:noWrap/>
            <w:hideMark/>
          </w:tcPr>
          <w:p w14:paraId="2E67DD59" w14:textId="77777777" w:rsidR="00F87CD2" w:rsidRPr="00F87CD2" w:rsidRDefault="00F87CD2">
            <w:pPr>
              <w:rPr>
                <w:rFonts w:ascii="Arial" w:eastAsiaTheme="minorHAnsi" w:hAnsi="Arial" w:cs="Arial"/>
                <w:b/>
                <w:bCs/>
                <w:szCs w:val="22"/>
                <w:lang w:val="es-CR" w:eastAsia="en-US"/>
              </w:rPr>
            </w:pPr>
            <w:r w:rsidRPr="00F87CD2">
              <w:rPr>
                <w:rFonts w:ascii="Arial" w:hAnsi="Arial" w:cs="Arial"/>
                <w:b/>
                <w:bCs/>
                <w:szCs w:val="22"/>
                <w:lang w:val="es-CR"/>
              </w:rPr>
              <w:t>Ingresos brutos por los servicios de referimiento de clientes</w:t>
            </w:r>
          </w:p>
        </w:tc>
      </w:tr>
      <w:tr w:rsidR="00F87CD2" w:rsidRPr="00F87CD2" w14:paraId="70888172"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561C0DC9"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0D49C737"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7201</w:t>
            </w:r>
          </w:p>
        </w:tc>
        <w:tc>
          <w:tcPr>
            <w:tcW w:w="7655" w:type="dxa"/>
            <w:tcBorders>
              <w:top w:val="nil"/>
              <w:left w:val="nil"/>
              <w:bottom w:val="single" w:sz="4" w:space="0" w:color="auto"/>
              <w:right w:val="single" w:sz="4" w:space="0" w:color="auto"/>
            </w:tcBorders>
            <w:noWrap/>
            <w:hideMark/>
          </w:tcPr>
          <w:p w14:paraId="626C51BC" w14:textId="77777777" w:rsidR="00F87CD2" w:rsidRPr="00F87CD2" w:rsidRDefault="00F87CD2">
            <w:pPr>
              <w:rPr>
                <w:rFonts w:ascii="Arial" w:eastAsiaTheme="minorHAnsi" w:hAnsi="Arial" w:cs="Arial"/>
                <w:szCs w:val="22"/>
                <w:lang w:val="es-CR" w:eastAsia="en-US"/>
              </w:rPr>
            </w:pPr>
            <w:r w:rsidRPr="00F87CD2">
              <w:rPr>
                <w:rFonts w:ascii="Arial" w:hAnsi="Arial" w:cs="Arial"/>
                <w:szCs w:val="22"/>
                <w:lang w:val="es-CR"/>
              </w:rPr>
              <w:t>Ingresos brutos por los servicios de referimiento de clientes a partes no relacionadas</w:t>
            </w:r>
          </w:p>
        </w:tc>
      </w:tr>
      <w:tr w:rsidR="00F87CD2" w:rsidRPr="00F87CD2" w14:paraId="04347CA5"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3FDADEB0"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4A9DCB8C"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7202</w:t>
            </w:r>
          </w:p>
        </w:tc>
        <w:tc>
          <w:tcPr>
            <w:tcW w:w="7655" w:type="dxa"/>
            <w:tcBorders>
              <w:top w:val="nil"/>
              <w:left w:val="nil"/>
              <w:bottom w:val="single" w:sz="4" w:space="0" w:color="auto"/>
              <w:right w:val="single" w:sz="4" w:space="0" w:color="auto"/>
            </w:tcBorders>
            <w:noWrap/>
            <w:hideMark/>
          </w:tcPr>
          <w:p w14:paraId="229689E3"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Ingresos brutos por los servicios de referimiento de clientes a partes relacionadas</w:t>
            </w:r>
          </w:p>
        </w:tc>
      </w:tr>
      <w:tr w:rsidR="00F87CD2" w:rsidRPr="00F87CD2" w14:paraId="4192C8D9"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6C9E7BBD"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16FDEB89"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8000</w:t>
            </w:r>
          </w:p>
        </w:tc>
        <w:tc>
          <w:tcPr>
            <w:tcW w:w="7655" w:type="dxa"/>
            <w:tcBorders>
              <w:top w:val="nil"/>
              <w:left w:val="nil"/>
              <w:bottom w:val="single" w:sz="4" w:space="0" w:color="auto"/>
              <w:right w:val="single" w:sz="4" w:space="0" w:color="auto"/>
            </w:tcBorders>
            <w:noWrap/>
            <w:hideMark/>
          </w:tcPr>
          <w:p w14:paraId="2641B393"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Cantidad de contratos de estructuración de emisiones vigentes</w:t>
            </w:r>
          </w:p>
        </w:tc>
      </w:tr>
      <w:tr w:rsidR="00F87CD2" w:rsidRPr="00F87CD2" w14:paraId="62345BB4"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372FFA62"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46A55B5E"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8100</w:t>
            </w:r>
          </w:p>
        </w:tc>
        <w:tc>
          <w:tcPr>
            <w:tcW w:w="7655" w:type="dxa"/>
            <w:tcBorders>
              <w:top w:val="nil"/>
              <w:left w:val="nil"/>
              <w:bottom w:val="single" w:sz="4" w:space="0" w:color="auto"/>
              <w:right w:val="single" w:sz="4" w:space="0" w:color="auto"/>
            </w:tcBorders>
            <w:noWrap/>
            <w:hideMark/>
          </w:tcPr>
          <w:p w14:paraId="50AEEFDA"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Cantidad de contratos de estructuración de emisiones vigentes para oferta pública</w:t>
            </w:r>
          </w:p>
        </w:tc>
      </w:tr>
      <w:tr w:rsidR="00F87CD2" w:rsidRPr="00F87CD2" w14:paraId="7EE5061F"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0DAEFC9C"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0D1D9596"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8200</w:t>
            </w:r>
          </w:p>
        </w:tc>
        <w:tc>
          <w:tcPr>
            <w:tcW w:w="7655" w:type="dxa"/>
            <w:tcBorders>
              <w:top w:val="nil"/>
              <w:left w:val="nil"/>
              <w:bottom w:val="single" w:sz="4" w:space="0" w:color="auto"/>
              <w:right w:val="single" w:sz="4" w:space="0" w:color="auto"/>
            </w:tcBorders>
            <w:noWrap/>
            <w:hideMark/>
          </w:tcPr>
          <w:p w14:paraId="430055B6"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Cantidad de contratos de estructuración de emisiones vigentes para oferta privada</w:t>
            </w:r>
          </w:p>
        </w:tc>
      </w:tr>
      <w:tr w:rsidR="00F87CD2" w:rsidRPr="00F87CD2" w14:paraId="256D2012"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3328DFC1"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421CB8C5"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8300</w:t>
            </w:r>
          </w:p>
        </w:tc>
        <w:tc>
          <w:tcPr>
            <w:tcW w:w="7655" w:type="dxa"/>
            <w:tcBorders>
              <w:top w:val="nil"/>
              <w:left w:val="nil"/>
              <w:bottom w:val="single" w:sz="4" w:space="0" w:color="auto"/>
              <w:right w:val="single" w:sz="4" w:space="0" w:color="auto"/>
            </w:tcBorders>
            <w:noWrap/>
            <w:hideMark/>
          </w:tcPr>
          <w:p w14:paraId="62E9263F" w14:textId="77777777" w:rsidR="00F87CD2" w:rsidRPr="00F87CD2" w:rsidRDefault="00F87CD2">
            <w:pPr>
              <w:rPr>
                <w:rFonts w:ascii="Arial" w:hAnsi="Arial" w:cs="Arial"/>
                <w:b/>
                <w:bCs/>
                <w:color w:val="000000"/>
                <w:szCs w:val="22"/>
                <w:lang w:val="es-CR" w:eastAsia="es-CR"/>
              </w:rPr>
            </w:pPr>
            <w:r w:rsidRPr="00F87CD2">
              <w:rPr>
                <w:rFonts w:ascii="Arial" w:hAnsi="Arial" w:cs="Arial"/>
                <w:b/>
                <w:bCs/>
                <w:szCs w:val="22"/>
                <w:lang w:val="es-CR"/>
              </w:rPr>
              <w:t>Ingresos brutos por los servicios de colocación de emisiones de oferta pública</w:t>
            </w:r>
          </w:p>
        </w:tc>
      </w:tr>
      <w:tr w:rsidR="00F87CD2" w:rsidRPr="00F87CD2" w14:paraId="012AC6B7"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66741C91"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0F78D233"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8301</w:t>
            </w:r>
          </w:p>
        </w:tc>
        <w:tc>
          <w:tcPr>
            <w:tcW w:w="7655" w:type="dxa"/>
            <w:tcBorders>
              <w:top w:val="nil"/>
              <w:left w:val="nil"/>
              <w:bottom w:val="single" w:sz="4" w:space="0" w:color="auto"/>
              <w:right w:val="single" w:sz="4" w:space="0" w:color="auto"/>
            </w:tcBorders>
            <w:noWrap/>
            <w:hideMark/>
          </w:tcPr>
          <w:p w14:paraId="2924BB1B"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servicios de colocación de emisiones de oferta pública con partes no relacionadas</w:t>
            </w:r>
          </w:p>
        </w:tc>
      </w:tr>
      <w:tr w:rsidR="00F87CD2" w:rsidRPr="00F87CD2" w14:paraId="787605CC" w14:textId="77777777" w:rsidTr="00F87CD2">
        <w:trPr>
          <w:trHeight w:val="300"/>
        </w:trPr>
        <w:tc>
          <w:tcPr>
            <w:tcW w:w="1276" w:type="dxa"/>
            <w:tcBorders>
              <w:top w:val="nil"/>
              <w:left w:val="single" w:sz="4" w:space="0" w:color="auto"/>
              <w:bottom w:val="single" w:sz="4" w:space="0" w:color="auto"/>
              <w:right w:val="single" w:sz="4" w:space="0" w:color="auto"/>
            </w:tcBorders>
            <w:noWrap/>
            <w:vAlign w:val="center"/>
            <w:hideMark/>
          </w:tcPr>
          <w:p w14:paraId="61160E08"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nil"/>
              <w:left w:val="nil"/>
              <w:bottom w:val="single" w:sz="4" w:space="0" w:color="auto"/>
              <w:right w:val="single" w:sz="4" w:space="0" w:color="auto"/>
            </w:tcBorders>
            <w:noWrap/>
            <w:vAlign w:val="center"/>
            <w:hideMark/>
          </w:tcPr>
          <w:p w14:paraId="2625218D" w14:textId="77777777" w:rsidR="00F87CD2" w:rsidRPr="00F87CD2" w:rsidRDefault="00F87CD2">
            <w:pPr>
              <w:jc w:val="center"/>
              <w:rPr>
                <w:rFonts w:ascii="Arial" w:hAnsi="Arial" w:cs="Arial"/>
                <w:b/>
                <w:bCs/>
                <w:szCs w:val="22"/>
                <w:lang w:val="es-CR" w:eastAsia="es-CR"/>
              </w:rPr>
            </w:pPr>
            <w:r w:rsidRPr="00F87CD2">
              <w:rPr>
                <w:rFonts w:ascii="Arial" w:hAnsi="Arial" w:cs="Arial"/>
                <w:szCs w:val="22"/>
                <w:lang w:val="es-CR"/>
              </w:rPr>
              <w:t>8302</w:t>
            </w:r>
          </w:p>
        </w:tc>
        <w:tc>
          <w:tcPr>
            <w:tcW w:w="7655" w:type="dxa"/>
            <w:tcBorders>
              <w:top w:val="nil"/>
              <w:left w:val="nil"/>
              <w:bottom w:val="single" w:sz="4" w:space="0" w:color="auto"/>
              <w:right w:val="single" w:sz="4" w:space="0" w:color="auto"/>
            </w:tcBorders>
            <w:noWrap/>
            <w:hideMark/>
          </w:tcPr>
          <w:p w14:paraId="7984D897" w14:textId="77777777" w:rsidR="00F87CD2" w:rsidRPr="00F87CD2" w:rsidRDefault="00F87CD2">
            <w:pPr>
              <w:rPr>
                <w:rFonts w:ascii="Arial" w:hAnsi="Arial" w:cs="Arial"/>
                <w:b/>
                <w:bCs/>
                <w:color w:val="000000"/>
                <w:szCs w:val="22"/>
                <w:lang w:val="es-CR" w:eastAsia="es-CR"/>
              </w:rPr>
            </w:pPr>
            <w:r w:rsidRPr="00F87CD2">
              <w:rPr>
                <w:rFonts w:ascii="Arial" w:hAnsi="Arial" w:cs="Arial"/>
                <w:szCs w:val="22"/>
                <w:lang w:val="es-CR"/>
              </w:rPr>
              <w:t xml:space="preserve">     Ingresos brutos por servicios de colocación de emisiones de oferta pública con partes relacionadas</w:t>
            </w:r>
          </w:p>
        </w:tc>
      </w:tr>
      <w:tr w:rsidR="00F87CD2" w:rsidRPr="00F87CD2" w14:paraId="5B9AA168" w14:textId="77777777" w:rsidTr="00F87CD2">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14:paraId="62C96782"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394BE91"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9000</w:t>
            </w:r>
          </w:p>
        </w:tc>
        <w:tc>
          <w:tcPr>
            <w:tcW w:w="7655" w:type="dxa"/>
            <w:tcBorders>
              <w:top w:val="single" w:sz="4" w:space="0" w:color="auto"/>
              <w:left w:val="nil"/>
              <w:bottom w:val="single" w:sz="4" w:space="0" w:color="auto"/>
              <w:right w:val="single" w:sz="4" w:space="0" w:color="auto"/>
            </w:tcBorders>
            <w:noWrap/>
            <w:vAlign w:val="bottom"/>
            <w:hideMark/>
          </w:tcPr>
          <w:p w14:paraId="5C5FA06F" w14:textId="77777777" w:rsidR="00F87CD2" w:rsidRPr="00F87CD2" w:rsidRDefault="00F87CD2">
            <w:pPr>
              <w:rPr>
                <w:rFonts w:ascii="Arial" w:eastAsiaTheme="minorHAnsi" w:hAnsi="Arial" w:cs="Arial"/>
                <w:b/>
                <w:bCs/>
                <w:szCs w:val="22"/>
                <w:lang w:val="es-CR" w:eastAsia="en-US"/>
              </w:rPr>
            </w:pPr>
            <w:r w:rsidRPr="00F87CD2">
              <w:rPr>
                <w:rFonts w:ascii="Arial" w:hAnsi="Arial" w:cs="Arial"/>
                <w:b/>
                <w:bCs/>
                <w:szCs w:val="22"/>
                <w:lang w:val="es-CR"/>
              </w:rPr>
              <w:t>Cantidad de cuentas valor únicamente con contratos de servicio de custodia</w:t>
            </w:r>
          </w:p>
        </w:tc>
      </w:tr>
      <w:tr w:rsidR="00F87CD2" w:rsidRPr="00F87CD2" w14:paraId="789D96D0" w14:textId="77777777" w:rsidTr="00F87CD2">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14:paraId="562EFFE0"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41B2032"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9100</w:t>
            </w:r>
          </w:p>
        </w:tc>
        <w:tc>
          <w:tcPr>
            <w:tcW w:w="7655" w:type="dxa"/>
            <w:tcBorders>
              <w:top w:val="single" w:sz="4" w:space="0" w:color="auto"/>
              <w:left w:val="nil"/>
              <w:bottom w:val="single" w:sz="4" w:space="0" w:color="auto"/>
              <w:right w:val="single" w:sz="4" w:space="0" w:color="auto"/>
            </w:tcBorders>
            <w:noWrap/>
            <w:vAlign w:val="bottom"/>
            <w:hideMark/>
          </w:tcPr>
          <w:p w14:paraId="7FAF069C" w14:textId="77777777" w:rsidR="00F87CD2" w:rsidRPr="00F87CD2" w:rsidRDefault="00F87CD2">
            <w:pPr>
              <w:rPr>
                <w:rFonts w:ascii="Arial" w:eastAsiaTheme="minorHAnsi" w:hAnsi="Arial" w:cs="Arial"/>
                <w:szCs w:val="22"/>
                <w:lang w:val="es-CR" w:eastAsia="en-US"/>
              </w:rPr>
            </w:pPr>
            <w:r w:rsidRPr="00F87CD2">
              <w:rPr>
                <w:rFonts w:ascii="Arial" w:hAnsi="Arial" w:cs="Arial"/>
                <w:szCs w:val="22"/>
                <w:lang w:val="es-CR"/>
              </w:rPr>
              <w:t xml:space="preserve">Ingresos brutos por los servicios de custodia </w:t>
            </w:r>
          </w:p>
        </w:tc>
      </w:tr>
      <w:tr w:rsidR="00F87CD2" w:rsidRPr="00F87CD2" w14:paraId="799DFAC7" w14:textId="77777777" w:rsidTr="00F87CD2">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14:paraId="50AFAB6A"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E4FD31A"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9101</w:t>
            </w:r>
          </w:p>
        </w:tc>
        <w:tc>
          <w:tcPr>
            <w:tcW w:w="7655" w:type="dxa"/>
            <w:tcBorders>
              <w:top w:val="single" w:sz="4" w:space="0" w:color="auto"/>
              <w:left w:val="nil"/>
              <w:bottom w:val="single" w:sz="4" w:space="0" w:color="auto"/>
              <w:right w:val="single" w:sz="4" w:space="0" w:color="auto"/>
            </w:tcBorders>
            <w:noWrap/>
            <w:vAlign w:val="bottom"/>
            <w:hideMark/>
          </w:tcPr>
          <w:p w14:paraId="5762853B" w14:textId="77777777" w:rsidR="00F87CD2" w:rsidRPr="00F87CD2" w:rsidRDefault="00F87CD2">
            <w:pPr>
              <w:rPr>
                <w:rFonts w:ascii="Arial" w:eastAsiaTheme="minorHAnsi" w:hAnsi="Arial" w:cs="Arial"/>
                <w:szCs w:val="22"/>
                <w:lang w:val="es-CR" w:eastAsia="en-US"/>
              </w:rPr>
            </w:pPr>
            <w:r w:rsidRPr="00F87CD2">
              <w:rPr>
                <w:rFonts w:ascii="Arial" w:hAnsi="Arial" w:cs="Arial"/>
                <w:szCs w:val="22"/>
                <w:lang w:val="es-CR"/>
              </w:rPr>
              <w:t xml:space="preserve">     Ingresos brutos por servicios de custodia con partes no relacionadas</w:t>
            </w:r>
          </w:p>
        </w:tc>
      </w:tr>
      <w:tr w:rsidR="00F87CD2" w:rsidRPr="00F87CD2" w14:paraId="3EB706E1" w14:textId="77777777" w:rsidTr="00F87CD2">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14:paraId="3CAA9609"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74AA6EA"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9102</w:t>
            </w:r>
          </w:p>
        </w:tc>
        <w:tc>
          <w:tcPr>
            <w:tcW w:w="7655" w:type="dxa"/>
            <w:tcBorders>
              <w:top w:val="single" w:sz="4" w:space="0" w:color="auto"/>
              <w:left w:val="nil"/>
              <w:bottom w:val="single" w:sz="4" w:space="0" w:color="auto"/>
              <w:right w:val="single" w:sz="4" w:space="0" w:color="auto"/>
            </w:tcBorders>
            <w:noWrap/>
            <w:vAlign w:val="bottom"/>
            <w:hideMark/>
          </w:tcPr>
          <w:p w14:paraId="05F26270" w14:textId="77777777" w:rsidR="00F87CD2" w:rsidRPr="00F87CD2" w:rsidRDefault="00F87CD2">
            <w:pPr>
              <w:rPr>
                <w:rFonts w:ascii="Arial" w:eastAsiaTheme="minorHAnsi" w:hAnsi="Arial" w:cs="Arial"/>
                <w:szCs w:val="22"/>
                <w:lang w:val="es-CR" w:eastAsia="en-US"/>
              </w:rPr>
            </w:pPr>
            <w:r w:rsidRPr="00F87CD2">
              <w:rPr>
                <w:rFonts w:ascii="Arial" w:hAnsi="Arial" w:cs="Arial"/>
                <w:szCs w:val="22"/>
                <w:lang w:val="es-CR"/>
              </w:rPr>
              <w:t xml:space="preserve">     Ingresos brutos por servicios de custodias con partes relacionadas</w:t>
            </w:r>
          </w:p>
        </w:tc>
      </w:tr>
      <w:tr w:rsidR="00F87CD2" w:rsidRPr="00F87CD2" w14:paraId="7FCCADB5" w14:textId="77777777" w:rsidTr="00F87CD2">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14:paraId="0E8FB551"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A2B9428"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10000</w:t>
            </w:r>
          </w:p>
        </w:tc>
        <w:tc>
          <w:tcPr>
            <w:tcW w:w="7655" w:type="dxa"/>
            <w:tcBorders>
              <w:top w:val="single" w:sz="4" w:space="0" w:color="auto"/>
              <w:left w:val="nil"/>
              <w:bottom w:val="single" w:sz="4" w:space="0" w:color="auto"/>
              <w:right w:val="single" w:sz="4" w:space="0" w:color="auto"/>
            </w:tcBorders>
            <w:noWrap/>
            <w:vAlign w:val="bottom"/>
            <w:hideMark/>
          </w:tcPr>
          <w:p w14:paraId="34DF910F" w14:textId="77777777" w:rsidR="00F87CD2" w:rsidRPr="00F87CD2" w:rsidRDefault="00F87CD2">
            <w:pPr>
              <w:rPr>
                <w:rFonts w:ascii="Arial" w:eastAsiaTheme="minorHAnsi" w:hAnsi="Arial" w:cs="Arial"/>
                <w:szCs w:val="22"/>
                <w:lang w:val="es-CR" w:eastAsia="en-US"/>
              </w:rPr>
            </w:pPr>
            <w:r w:rsidRPr="00F87CD2">
              <w:rPr>
                <w:rFonts w:ascii="Arial" w:hAnsi="Arial" w:cs="Arial"/>
                <w:szCs w:val="22"/>
                <w:lang w:val="es-CR"/>
              </w:rPr>
              <w:t>Cantidad de cuentas valor activas con contratos de servicios de intermediación de valores</w:t>
            </w:r>
          </w:p>
        </w:tc>
      </w:tr>
      <w:tr w:rsidR="00F87CD2" w:rsidRPr="00F87CD2" w14:paraId="1702DA04" w14:textId="77777777" w:rsidTr="00F87CD2">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14:paraId="6A3100F9"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SI_PB</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4FF32FC"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10200</w:t>
            </w:r>
          </w:p>
        </w:tc>
        <w:tc>
          <w:tcPr>
            <w:tcW w:w="7655" w:type="dxa"/>
            <w:tcBorders>
              <w:top w:val="single" w:sz="4" w:space="0" w:color="auto"/>
              <w:left w:val="nil"/>
              <w:bottom w:val="single" w:sz="4" w:space="0" w:color="auto"/>
              <w:right w:val="single" w:sz="4" w:space="0" w:color="auto"/>
            </w:tcBorders>
            <w:noWrap/>
            <w:vAlign w:val="bottom"/>
            <w:hideMark/>
          </w:tcPr>
          <w:p w14:paraId="7D53E847" w14:textId="77777777" w:rsidR="00F87CD2" w:rsidRPr="00F87CD2" w:rsidRDefault="00F87CD2">
            <w:pPr>
              <w:rPr>
                <w:rFonts w:ascii="Arial" w:eastAsiaTheme="minorHAnsi" w:hAnsi="Arial" w:cs="Arial"/>
                <w:szCs w:val="22"/>
                <w:lang w:val="es-CR" w:eastAsia="en-US"/>
              </w:rPr>
            </w:pPr>
            <w:r w:rsidRPr="00F87CD2">
              <w:rPr>
                <w:rFonts w:ascii="Arial" w:hAnsi="Arial" w:cs="Arial"/>
                <w:szCs w:val="22"/>
                <w:lang w:val="es-CR"/>
              </w:rPr>
              <w:t>Cantidad de cuentas valor inactivas con contratos de servicios de intermediación de valores</w:t>
            </w:r>
          </w:p>
        </w:tc>
      </w:tr>
    </w:tbl>
    <w:p w14:paraId="6372866B" w14:textId="77777777" w:rsidR="00F87CD2" w:rsidRPr="00F87CD2" w:rsidRDefault="00F87CD2" w:rsidP="00F87CD2">
      <w:pPr>
        <w:ind w:left="720"/>
        <w:contextualSpacing/>
        <w:jc w:val="both"/>
        <w:rPr>
          <w:rFonts w:ascii="Arial" w:eastAsia="Calibri" w:hAnsi="Arial" w:cs="Arial"/>
          <w:szCs w:val="22"/>
          <w:lang w:eastAsia="en-US"/>
        </w:rPr>
      </w:pPr>
    </w:p>
    <w:p w14:paraId="3B9BB533" w14:textId="77777777" w:rsidR="00F87CD2" w:rsidRPr="00F87CD2" w:rsidRDefault="00F87CD2" w:rsidP="00F87CD2">
      <w:pPr>
        <w:jc w:val="center"/>
        <w:rPr>
          <w:rFonts w:ascii="Arial" w:eastAsia="Calibri" w:hAnsi="Arial" w:cs="Arial"/>
          <w:color w:val="000000"/>
          <w:szCs w:val="22"/>
          <w:highlight w:val="yellow"/>
          <w:lang w:val="es-CR" w:eastAsia="es-CR"/>
        </w:rPr>
      </w:pPr>
      <w:r w:rsidRPr="00F87CD2">
        <w:rPr>
          <w:rFonts w:ascii="Arial" w:eastAsiaTheme="minorHAnsi" w:hAnsi="Arial" w:cs="Arial"/>
          <w:szCs w:val="22"/>
          <w:lang w:eastAsia="en-US"/>
        </w:rPr>
        <w:object w:dxaOrig="1170" w:dyaOrig="765" w14:anchorId="765DB4F2">
          <v:shape id="_x0000_i1027" type="#_x0000_t75" style="width:58.5pt;height:38.25pt" o:ole="">
            <v:imagedata r:id="rId15" o:title=""/>
          </v:shape>
          <o:OLEObject Type="Embed" ProgID="Excel.Sheet.12" ShapeID="_x0000_i1027" DrawAspect="Icon" ObjectID="_1721136995" r:id="rId16"/>
        </w:object>
      </w:r>
    </w:p>
    <w:p w14:paraId="5F8348CE" w14:textId="77777777" w:rsidR="00F87CD2" w:rsidRPr="00F87CD2" w:rsidRDefault="00F87CD2" w:rsidP="00F87CD2">
      <w:pPr>
        <w:pStyle w:val="Prrafodelista"/>
        <w:numPr>
          <w:ilvl w:val="0"/>
          <w:numId w:val="20"/>
        </w:numPr>
        <w:spacing w:after="160" w:line="256" w:lineRule="auto"/>
        <w:ind w:left="567" w:hanging="567"/>
        <w:jc w:val="both"/>
        <w:rPr>
          <w:rFonts w:ascii="Arial" w:eastAsia="Calibri" w:hAnsi="Arial" w:cs="Arial"/>
          <w:color w:val="000000"/>
          <w:szCs w:val="22"/>
          <w:lang w:val="es-CR" w:eastAsia="es-CR"/>
        </w:rPr>
      </w:pPr>
      <w:r w:rsidRPr="00F87CD2">
        <w:rPr>
          <w:rFonts w:ascii="Arial" w:eastAsia="Calibri" w:hAnsi="Arial" w:cs="Arial"/>
          <w:color w:val="000000"/>
          <w:szCs w:val="22"/>
          <w:lang w:val="es-CR" w:eastAsia="es-CR"/>
        </w:rPr>
        <w:t xml:space="preserve">Se incorpora al </w:t>
      </w:r>
      <w:r w:rsidRPr="00F87CD2">
        <w:rPr>
          <w:rFonts w:ascii="Arial" w:eastAsia="Calibri" w:hAnsi="Arial" w:cs="Arial"/>
          <w:b/>
          <w:bCs/>
          <w:color w:val="000000"/>
          <w:szCs w:val="22"/>
          <w:lang w:val="es-CR" w:eastAsia="es-CR"/>
        </w:rPr>
        <w:t>Anexo 31 Suficiencia Patrimonial</w:t>
      </w:r>
      <w:r w:rsidRPr="00F87CD2">
        <w:rPr>
          <w:rFonts w:ascii="Arial" w:eastAsia="Calibri" w:hAnsi="Arial" w:cs="Arial"/>
          <w:color w:val="000000"/>
          <w:szCs w:val="22"/>
          <w:lang w:val="es-CR" w:eastAsia="es-CR"/>
        </w:rPr>
        <w:t xml:space="preserve">, las plantillas para el cálculo de la Suficiencia Patrimonial de las bolsas de valores y de las centrales de anotación en cuenta. </w:t>
      </w:r>
    </w:p>
    <w:tbl>
      <w:tblPr>
        <w:tblW w:w="5698" w:type="pct"/>
        <w:jc w:val="center"/>
        <w:tblCellMar>
          <w:left w:w="70" w:type="dxa"/>
          <w:right w:w="70" w:type="dxa"/>
        </w:tblCellMar>
        <w:tblLook w:val="04A0" w:firstRow="1" w:lastRow="0" w:firstColumn="1" w:lastColumn="0" w:noHBand="0" w:noVBand="1"/>
      </w:tblPr>
      <w:tblGrid>
        <w:gridCol w:w="1705"/>
        <w:gridCol w:w="1595"/>
        <w:gridCol w:w="8146"/>
      </w:tblGrid>
      <w:tr w:rsidR="00F87CD2" w:rsidRPr="00F87CD2" w14:paraId="16E3DCF0" w14:textId="77777777" w:rsidTr="00F87CD2">
        <w:trPr>
          <w:trHeight w:val="300"/>
          <w:tblHeader/>
          <w:jc w:val="center"/>
        </w:trPr>
        <w:tc>
          <w:tcPr>
            <w:tcW w:w="706" w:type="pct"/>
            <w:tcBorders>
              <w:top w:val="single" w:sz="4" w:space="0" w:color="auto"/>
              <w:left w:val="single" w:sz="4" w:space="0" w:color="auto"/>
              <w:bottom w:val="single" w:sz="4" w:space="0" w:color="auto"/>
              <w:right w:val="single" w:sz="4" w:space="0" w:color="auto"/>
            </w:tcBorders>
            <w:noWrap/>
            <w:vAlign w:val="bottom"/>
            <w:hideMark/>
          </w:tcPr>
          <w:p w14:paraId="4A8CFA86"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Código Cuenta</w:t>
            </w:r>
          </w:p>
        </w:tc>
        <w:tc>
          <w:tcPr>
            <w:tcW w:w="662" w:type="pct"/>
            <w:tcBorders>
              <w:top w:val="single" w:sz="4" w:space="0" w:color="auto"/>
              <w:left w:val="nil"/>
              <w:bottom w:val="single" w:sz="4" w:space="0" w:color="auto"/>
              <w:right w:val="single" w:sz="4" w:space="0" w:color="auto"/>
            </w:tcBorders>
            <w:noWrap/>
            <w:vAlign w:val="bottom"/>
            <w:hideMark/>
          </w:tcPr>
          <w:p w14:paraId="1D73D1E8"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Cuenta Madre</w:t>
            </w:r>
          </w:p>
        </w:tc>
        <w:tc>
          <w:tcPr>
            <w:tcW w:w="3633" w:type="pct"/>
            <w:tcBorders>
              <w:top w:val="single" w:sz="4" w:space="0" w:color="auto"/>
              <w:left w:val="nil"/>
              <w:bottom w:val="single" w:sz="4" w:space="0" w:color="auto"/>
              <w:right w:val="single" w:sz="4" w:space="0" w:color="auto"/>
            </w:tcBorders>
            <w:noWrap/>
            <w:vAlign w:val="bottom"/>
            <w:hideMark/>
          </w:tcPr>
          <w:p w14:paraId="7F4861FB"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Descripción</w:t>
            </w:r>
          </w:p>
        </w:tc>
      </w:tr>
      <w:tr w:rsidR="00F87CD2" w:rsidRPr="00F87CD2" w14:paraId="27C05946" w14:textId="77777777" w:rsidTr="00F87CD2">
        <w:trPr>
          <w:trHeight w:val="300"/>
          <w:jc w:val="center"/>
        </w:trPr>
        <w:tc>
          <w:tcPr>
            <w:tcW w:w="706" w:type="pct"/>
            <w:tcBorders>
              <w:top w:val="nil"/>
              <w:left w:val="single" w:sz="4" w:space="0" w:color="auto"/>
              <w:bottom w:val="single" w:sz="4" w:space="0" w:color="auto"/>
              <w:right w:val="single" w:sz="4" w:space="0" w:color="auto"/>
            </w:tcBorders>
            <w:noWrap/>
            <w:vAlign w:val="bottom"/>
            <w:hideMark/>
          </w:tcPr>
          <w:p w14:paraId="3E9F9551"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10000000</w:t>
            </w:r>
          </w:p>
        </w:tc>
        <w:tc>
          <w:tcPr>
            <w:tcW w:w="662" w:type="pct"/>
            <w:tcBorders>
              <w:top w:val="nil"/>
              <w:left w:val="nil"/>
              <w:bottom w:val="single" w:sz="4" w:space="0" w:color="auto"/>
              <w:right w:val="single" w:sz="4" w:space="0" w:color="auto"/>
            </w:tcBorders>
            <w:noWrap/>
            <w:vAlign w:val="bottom"/>
            <w:hideMark/>
          </w:tcPr>
          <w:p w14:paraId="0B300BC3"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0</w:t>
            </w:r>
          </w:p>
        </w:tc>
        <w:tc>
          <w:tcPr>
            <w:tcW w:w="3633" w:type="pct"/>
            <w:tcBorders>
              <w:top w:val="nil"/>
              <w:left w:val="nil"/>
              <w:bottom w:val="single" w:sz="4" w:space="0" w:color="auto"/>
              <w:right w:val="single" w:sz="4" w:space="0" w:color="auto"/>
            </w:tcBorders>
            <w:noWrap/>
            <w:vAlign w:val="bottom"/>
            <w:hideMark/>
          </w:tcPr>
          <w:p w14:paraId="4D3FE851" w14:textId="77777777" w:rsidR="00F87CD2" w:rsidRPr="00F87CD2" w:rsidRDefault="00F87CD2">
            <w:pPr>
              <w:rPr>
                <w:rFonts w:ascii="Arial" w:hAnsi="Arial" w:cs="Arial"/>
                <w:b/>
                <w:bCs/>
                <w:szCs w:val="22"/>
                <w:lang w:val="es-CR" w:eastAsia="es-CR"/>
              </w:rPr>
            </w:pPr>
            <w:r w:rsidRPr="00F87CD2">
              <w:rPr>
                <w:rFonts w:ascii="Arial" w:hAnsi="Arial" w:cs="Arial"/>
                <w:b/>
                <w:bCs/>
                <w:szCs w:val="22"/>
                <w:lang w:val="es-CR" w:eastAsia="es-CR"/>
              </w:rPr>
              <w:t>% DE CAPITAL COMPROMETIDO PARA LA COBERTURA DE RIESGOS (B/A)</w:t>
            </w:r>
          </w:p>
        </w:tc>
      </w:tr>
      <w:tr w:rsidR="00F87CD2" w:rsidRPr="00F87CD2" w14:paraId="046BD6BD" w14:textId="77777777" w:rsidTr="00F87CD2">
        <w:trPr>
          <w:trHeight w:val="300"/>
          <w:jc w:val="center"/>
        </w:trPr>
        <w:tc>
          <w:tcPr>
            <w:tcW w:w="706" w:type="pct"/>
            <w:tcBorders>
              <w:top w:val="nil"/>
              <w:left w:val="single" w:sz="4" w:space="0" w:color="auto"/>
              <w:bottom w:val="single" w:sz="4" w:space="0" w:color="auto"/>
              <w:right w:val="single" w:sz="4" w:space="0" w:color="auto"/>
            </w:tcBorders>
            <w:noWrap/>
            <w:vAlign w:val="bottom"/>
            <w:hideMark/>
          </w:tcPr>
          <w:p w14:paraId="192D90D9"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20000000</w:t>
            </w:r>
          </w:p>
        </w:tc>
        <w:tc>
          <w:tcPr>
            <w:tcW w:w="662" w:type="pct"/>
            <w:tcBorders>
              <w:top w:val="nil"/>
              <w:left w:val="nil"/>
              <w:bottom w:val="single" w:sz="4" w:space="0" w:color="auto"/>
              <w:right w:val="single" w:sz="4" w:space="0" w:color="auto"/>
            </w:tcBorders>
            <w:noWrap/>
            <w:vAlign w:val="bottom"/>
            <w:hideMark/>
          </w:tcPr>
          <w:p w14:paraId="041A9413"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0</w:t>
            </w:r>
          </w:p>
        </w:tc>
        <w:tc>
          <w:tcPr>
            <w:tcW w:w="3633" w:type="pct"/>
            <w:tcBorders>
              <w:top w:val="nil"/>
              <w:left w:val="nil"/>
              <w:bottom w:val="single" w:sz="4" w:space="0" w:color="auto"/>
              <w:right w:val="single" w:sz="4" w:space="0" w:color="auto"/>
            </w:tcBorders>
            <w:noWrap/>
            <w:vAlign w:val="bottom"/>
            <w:hideMark/>
          </w:tcPr>
          <w:p w14:paraId="0AAF5C12" w14:textId="77777777" w:rsidR="00F87CD2" w:rsidRPr="00F87CD2" w:rsidRDefault="00F87CD2">
            <w:pPr>
              <w:rPr>
                <w:rFonts w:ascii="Arial" w:hAnsi="Arial" w:cs="Arial"/>
                <w:b/>
                <w:bCs/>
                <w:szCs w:val="22"/>
                <w:lang w:val="es-CR" w:eastAsia="es-CR"/>
              </w:rPr>
            </w:pPr>
            <w:r w:rsidRPr="00F87CD2">
              <w:rPr>
                <w:rFonts w:ascii="Arial" w:hAnsi="Arial" w:cs="Arial"/>
                <w:b/>
                <w:bCs/>
                <w:szCs w:val="22"/>
                <w:lang w:val="es-CR" w:eastAsia="es-CR"/>
              </w:rPr>
              <w:t>DEFICIT / SUPERAVIT DE RECURSOS (A-B)</w:t>
            </w:r>
          </w:p>
        </w:tc>
      </w:tr>
      <w:tr w:rsidR="00F87CD2" w:rsidRPr="00F87CD2" w14:paraId="61EF6035" w14:textId="77777777" w:rsidTr="00F87CD2">
        <w:trPr>
          <w:trHeight w:val="300"/>
          <w:jc w:val="center"/>
        </w:trPr>
        <w:tc>
          <w:tcPr>
            <w:tcW w:w="706" w:type="pct"/>
            <w:tcBorders>
              <w:top w:val="nil"/>
              <w:left w:val="single" w:sz="4" w:space="0" w:color="auto"/>
              <w:bottom w:val="single" w:sz="4" w:space="0" w:color="auto"/>
              <w:right w:val="single" w:sz="4" w:space="0" w:color="auto"/>
            </w:tcBorders>
            <w:noWrap/>
            <w:vAlign w:val="bottom"/>
            <w:hideMark/>
          </w:tcPr>
          <w:p w14:paraId="3819CCFA"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20100000</w:t>
            </w:r>
          </w:p>
        </w:tc>
        <w:tc>
          <w:tcPr>
            <w:tcW w:w="662" w:type="pct"/>
            <w:tcBorders>
              <w:top w:val="nil"/>
              <w:left w:val="nil"/>
              <w:bottom w:val="single" w:sz="4" w:space="0" w:color="auto"/>
              <w:right w:val="single" w:sz="4" w:space="0" w:color="auto"/>
            </w:tcBorders>
            <w:noWrap/>
            <w:vAlign w:val="bottom"/>
            <w:hideMark/>
          </w:tcPr>
          <w:p w14:paraId="50D97520"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20000000</w:t>
            </w:r>
          </w:p>
        </w:tc>
        <w:tc>
          <w:tcPr>
            <w:tcW w:w="3633" w:type="pct"/>
            <w:tcBorders>
              <w:top w:val="nil"/>
              <w:left w:val="nil"/>
              <w:bottom w:val="single" w:sz="4" w:space="0" w:color="auto"/>
              <w:right w:val="single" w:sz="4" w:space="0" w:color="auto"/>
            </w:tcBorders>
            <w:noWrap/>
            <w:vAlign w:val="bottom"/>
            <w:hideMark/>
          </w:tcPr>
          <w:p w14:paraId="416F3274" w14:textId="77777777" w:rsidR="00F87CD2" w:rsidRPr="00F87CD2" w:rsidRDefault="00F87CD2">
            <w:pPr>
              <w:ind w:firstLineChars="200" w:firstLine="442"/>
              <w:rPr>
                <w:rFonts w:ascii="Arial" w:hAnsi="Arial" w:cs="Arial"/>
                <w:b/>
                <w:bCs/>
                <w:szCs w:val="22"/>
                <w:lang w:val="es-CR" w:eastAsia="es-CR"/>
              </w:rPr>
            </w:pPr>
            <w:r w:rsidRPr="00F87CD2">
              <w:rPr>
                <w:rFonts w:ascii="Arial" w:hAnsi="Arial" w:cs="Arial"/>
                <w:b/>
                <w:bCs/>
                <w:szCs w:val="22"/>
                <w:lang w:val="es-CR" w:eastAsia="es-CR"/>
              </w:rPr>
              <w:t>A- CAPITAL BASE</w:t>
            </w:r>
          </w:p>
        </w:tc>
      </w:tr>
      <w:tr w:rsidR="00F87CD2" w:rsidRPr="00F87CD2" w14:paraId="2D4DC634" w14:textId="77777777" w:rsidTr="00F87CD2">
        <w:trPr>
          <w:trHeight w:val="300"/>
          <w:jc w:val="center"/>
        </w:trPr>
        <w:tc>
          <w:tcPr>
            <w:tcW w:w="706" w:type="pct"/>
            <w:tcBorders>
              <w:top w:val="nil"/>
              <w:left w:val="single" w:sz="4" w:space="0" w:color="auto"/>
              <w:bottom w:val="single" w:sz="4" w:space="0" w:color="auto"/>
              <w:right w:val="single" w:sz="4" w:space="0" w:color="auto"/>
            </w:tcBorders>
            <w:noWrap/>
            <w:vAlign w:val="bottom"/>
            <w:hideMark/>
          </w:tcPr>
          <w:p w14:paraId="374AC9D0"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20110000</w:t>
            </w:r>
          </w:p>
        </w:tc>
        <w:tc>
          <w:tcPr>
            <w:tcW w:w="662" w:type="pct"/>
            <w:tcBorders>
              <w:top w:val="nil"/>
              <w:left w:val="nil"/>
              <w:bottom w:val="single" w:sz="4" w:space="0" w:color="auto"/>
              <w:right w:val="single" w:sz="4" w:space="0" w:color="auto"/>
            </w:tcBorders>
            <w:noWrap/>
            <w:vAlign w:val="bottom"/>
            <w:hideMark/>
          </w:tcPr>
          <w:p w14:paraId="4B2D145E"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20100000</w:t>
            </w:r>
          </w:p>
        </w:tc>
        <w:tc>
          <w:tcPr>
            <w:tcW w:w="3633" w:type="pct"/>
            <w:tcBorders>
              <w:top w:val="nil"/>
              <w:left w:val="nil"/>
              <w:bottom w:val="single" w:sz="4" w:space="0" w:color="auto"/>
              <w:right w:val="single" w:sz="4" w:space="0" w:color="auto"/>
            </w:tcBorders>
            <w:noWrap/>
            <w:vAlign w:val="center"/>
            <w:hideMark/>
          </w:tcPr>
          <w:p w14:paraId="1B7331E4" w14:textId="77777777" w:rsidR="00F87CD2" w:rsidRPr="00F87CD2" w:rsidRDefault="00F87CD2">
            <w:pPr>
              <w:ind w:firstLineChars="300" w:firstLine="663"/>
              <w:rPr>
                <w:rFonts w:ascii="Arial" w:hAnsi="Arial" w:cs="Arial"/>
                <w:b/>
                <w:bCs/>
                <w:szCs w:val="22"/>
                <w:lang w:val="es-CR" w:eastAsia="es-CR"/>
              </w:rPr>
            </w:pPr>
            <w:r w:rsidRPr="00F87CD2">
              <w:rPr>
                <w:rFonts w:ascii="Arial" w:hAnsi="Arial" w:cs="Arial"/>
                <w:b/>
                <w:bCs/>
                <w:szCs w:val="22"/>
                <w:lang w:val="es-CR" w:eastAsia="es-CR"/>
              </w:rPr>
              <w:t>A.1- CAPITAL PRIMARIO</w:t>
            </w:r>
          </w:p>
        </w:tc>
      </w:tr>
      <w:tr w:rsidR="00F87CD2" w:rsidRPr="00F87CD2" w14:paraId="08F790DA" w14:textId="77777777" w:rsidTr="00F87CD2">
        <w:trPr>
          <w:trHeight w:val="360"/>
          <w:jc w:val="center"/>
        </w:trPr>
        <w:tc>
          <w:tcPr>
            <w:tcW w:w="706" w:type="pct"/>
            <w:tcBorders>
              <w:top w:val="nil"/>
              <w:left w:val="single" w:sz="4" w:space="0" w:color="auto"/>
              <w:bottom w:val="single" w:sz="4" w:space="0" w:color="auto"/>
              <w:right w:val="single" w:sz="4" w:space="0" w:color="auto"/>
            </w:tcBorders>
            <w:noWrap/>
            <w:vAlign w:val="bottom"/>
            <w:hideMark/>
          </w:tcPr>
          <w:p w14:paraId="1BB99295"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20110100</w:t>
            </w:r>
          </w:p>
        </w:tc>
        <w:tc>
          <w:tcPr>
            <w:tcW w:w="662" w:type="pct"/>
            <w:tcBorders>
              <w:top w:val="nil"/>
              <w:left w:val="nil"/>
              <w:bottom w:val="single" w:sz="4" w:space="0" w:color="auto"/>
              <w:right w:val="single" w:sz="4" w:space="0" w:color="auto"/>
            </w:tcBorders>
            <w:noWrap/>
            <w:vAlign w:val="bottom"/>
            <w:hideMark/>
          </w:tcPr>
          <w:p w14:paraId="393921DD"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20110000</w:t>
            </w:r>
          </w:p>
        </w:tc>
        <w:tc>
          <w:tcPr>
            <w:tcW w:w="3633" w:type="pct"/>
            <w:tcBorders>
              <w:top w:val="nil"/>
              <w:left w:val="nil"/>
              <w:bottom w:val="single" w:sz="4" w:space="0" w:color="auto"/>
              <w:right w:val="single" w:sz="4" w:space="0" w:color="auto"/>
            </w:tcBorders>
            <w:vAlign w:val="center"/>
            <w:hideMark/>
          </w:tcPr>
          <w:p w14:paraId="5FD4FCEA"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Capital pagado Ordinario</w:t>
            </w:r>
          </w:p>
        </w:tc>
      </w:tr>
      <w:tr w:rsidR="00F87CD2" w:rsidRPr="00F87CD2" w14:paraId="1ED191FA"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1C7CA7A1"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20110200</w:t>
            </w:r>
          </w:p>
        </w:tc>
        <w:tc>
          <w:tcPr>
            <w:tcW w:w="662" w:type="pct"/>
            <w:tcBorders>
              <w:top w:val="nil"/>
              <w:left w:val="nil"/>
              <w:bottom w:val="single" w:sz="4" w:space="0" w:color="auto"/>
              <w:right w:val="single" w:sz="4" w:space="0" w:color="auto"/>
            </w:tcBorders>
            <w:noWrap/>
            <w:vAlign w:val="bottom"/>
            <w:hideMark/>
          </w:tcPr>
          <w:p w14:paraId="75379A4F"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20110000</w:t>
            </w:r>
          </w:p>
        </w:tc>
        <w:tc>
          <w:tcPr>
            <w:tcW w:w="3633" w:type="pct"/>
            <w:tcBorders>
              <w:top w:val="nil"/>
              <w:left w:val="nil"/>
              <w:bottom w:val="single" w:sz="4" w:space="0" w:color="auto"/>
              <w:right w:val="single" w:sz="4" w:space="0" w:color="auto"/>
            </w:tcBorders>
            <w:vAlign w:val="center"/>
            <w:hideMark/>
          </w:tcPr>
          <w:p w14:paraId="7127CC32"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Capital pagado preferente con dividendo no acumulativo</w:t>
            </w:r>
          </w:p>
        </w:tc>
      </w:tr>
      <w:tr w:rsidR="00F87CD2" w:rsidRPr="00F87CD2" w14:paraId="063D3E52"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68D9E861"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20110300</w:t>
            </w:r>
          </w:p>
        </w:tc>
        <w:tc>
          <w:tcPr>
            <w:tcW w:w="662" w:type="pct"/>
            <w:tcBorders>
              <w:top w:val="nil"/>
              <w:left w:val="nil"/>
              <w:bottom w:val="single" w:sz="4" w:space="0" w:color="auto"/>
              <w:right w:val="single" w:sz="4" w:space="0" w:color="auto"/>
            </w:tcBorders>
            <w:noWrap/>
            <w:vAlign w:val="bottom"/>
            <w:hideMark/>
          </w:tcPr>
          <w:p w14:paraId="0AB4B2CC"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20110000</w:t>
            </w:r>
          </w:p>
        </w:tc>
        <w:tc>
          <w:tcPr>
            <w:tcW w:w="3633" w:type="pct"/>
            <w:tcBorders>
              <w:top w:val="nil"/>
              <w:left w:val="nil"/>
              <w:bottom w:val="single" w:sz="4" w:space="0" w:color="auto"/>
              <w:right w:val="single" w:sz="4" w:space="0" w:color="auto"/>
            </w:tcBorders>
            <w:noWrap/>
            <w:vAlign w:val="bottom"/>
            <w:hideMark/>
          </w:tcPr>
          <w:p w14:paraId="513C029E"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Capital Donado</w:t>
            </w:r>
          </w:p>
        </w:tc>
      </w:tr>
      <w:tr w:rsidR="00F87CD2" w:rsidRPr="00F87CD2" w14:paraId="593B0CD9"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768C77DF"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20110400</w:t>
            </w:r>
          </w:p>
        </w:tc>
        <w:tc>
          <w:tcPr>
            <w:tcW w:w="662" w:type="pct"/>
            <w:tcBorders>
              <w:top w:val="nil"/>
              <w:left w:val="nil"/>
              <w:bottom w:val="single" w:sz="4" w:space="0" w:color="auto"/>
              <w:right w:val="single" w:sz="4" w:space="0" w:color="auto"/>
            </w:tcBorders>
            <w:noWrap/>
            <w:vAlign w:val="bottom"/>
            <w:hideMark/>
          </w:tcPr>
          <w:p w14:paraId="05DFAD09"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20110000</w:t>
            </w:r>
          </w:p>
        </w:tc>
        <w:tc>
          <w:tcPr>
            <w:tcW w:w="3633" w:type="pct"/>
            <w:tcBorders>
              <w:top w:val="nil"/>
              <w:left w:val="nil"/>
              <w:bottom w:val="single" w:sz="4" w:space="0" w:color="auto"/>
              <w:right w:val="single" w:sz="4" w:space="0" w:color="auto"/>
            </w:tcBorders>
            <w:noWrap/>
            <w:vAlign w:val="bottom"/>
            <w:hideMark/>
          </w:tcPr>
          <w:p w14:paraId="70FDF208"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Capital pagado adicional</w:t>
            </w:r>
          </w:p>
        </w:tc>
      </w:tr>
      <w:tr w:rsidR="00F87CD2" w:rsidRPr="00F87CD2" w14:paraId="7C0F67E3"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4968C90F"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20110500</w:t>
            </w:r>
          </w:p>
        </w:tc>
        <w:tc>
          <w:tcPr>
            <w:tcW w:w="662" w:type="pct"/>
            <w:tcBorders>
              <w:top w:val="nil"/>
              <w:left w:val="nil"/>
              <w:bottom w:val="single" w:sz="4" w:space="0" w:color="auto"/>
              <w:right w:val="single" w:sz="4" w:space="0" w:color="auto"/>
            </w:tcBorders>
            <w:noWrap/>
            <w:vAlign w:val="bottom"/>
            <w:hideMark/>
          </w:tcPr>
          <w:p w14:paraId="53F61153"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20110000</w:t>
            </w:r>
          </w:p>
        </w:tc>
        <w:tc>
          <w:tcPr>
            <w:tcW w:w="3633" w:type="pct"/>
            <w:tcBorders>
              <w:top w:val="nil"/>
              <w:left w:val="nil"/>
              <w:bottom w:val="single" w:sz="4" w:space="0" w:color="auto"/>
              <w:right w:val="single" w:sz="4" w:space="0" w:color="auto"/>
            </w:tcBorders>
            <w:noWrap/>
            <w:vAlign w:val="bottom"/>
            <w:hideMark/>
          </w:tcPr>
          <w:p w14:paraId="220384EE"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Reservas Legales</w:t>
            </w:r>
          </w:p>
        </w:tc>
      </w:tr>
      <w:tr w:rsidR="00F87CD2" w:rsidRPr="00F87CD2" w14:paraId="4D2D8C83"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76116FF7"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lastRenderedPageBreak/>
              <w:t>20115100</w:t>
            </w:r>
          </w:p>
        </w:tc>
        <w:tc>
          <w:tcPr>
            <w:tcW w:w="662" w:type="pct"/>
            <w:tcBorders>
              <w:top w:val="nil"/>
              <w:left w:val="nil"/>
              <w:bottom w:val="single" w:sz="4" w:space="0" w:color="auto"/>
              <w:right w:val="single" w:sz="4" w:space="0" w:color="auto"/>
            </w:tcBorders>
            <w:noWrap/>
            <w:vAlign w:val="bottom"/>
            <w:hideMark/>
          </w:tcPr>
          <w:p w14:paraId="1601445A"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20110000</w:t>
            </w:r>
          </w:p>
        </w:tc>
        <w:tc>
          <w:tcPr>
            <w:tcW w:w="3633" w:type="pct"/>
            <w:tcBorders>
              <w:top w:val="nil"/>
              <w:left w:val="nil"/>
              <w:bottom w:val="single" w:sz="4" w:space="0" w:color="auto"/>
              <w:right w:val="single" w:sz="4" w:space="0" w:color="auto"/>
            </w:tcBorders>
            <w:vAlign w:val="center"/>
            <w:hideMark/>
          </w:tcPr>
          <w:p w14:paraId="49A800A5"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Valor en libros de acciones de la entidad objeto de gravámenes</w:t>
            </w:r>
          </w:p>
        </w:tc>
      </w:tr>
      <w:tr w:rsidR="00F87CD2" w:rsidRPr="00F87CD2" w14:paraId="130DD244"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67745DDF"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20115200</w:t>
            </w:r>
          </w:p>
        </w:tc>
        <w:tc>
          <w:tcPr>
            <w:tcW w:w="662" w:type="pct"/>
            <w:tcBorders>
              <w:top w:val="nil"/>
              <w:left w:val="nil"/>
              <w:bottom w:val="single" w:sz="4" w:space="0" w:color="auto"/>
              <w:right w:val="single" w:sz="4" w:space="0" w:color="auto"/>
            </w:tcBorders>
            <w:noWrap/>
            <w:vAlign w:val="bottom"/>
            <w:hideMark/>
          </w:tcPr>
          <w:p w14:paraId="76421D82"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20110000</w:t>
            </w:r>
          </w:p>
        </w:tc>
        <w:tc>
          <w:tcPr>
            <w:tcW w:w="3633" w:type="pct"/>
            <w:tcBorders>
              <w:top w:val="nil"/>
              <w:left w:val="nil"/>
              <w:bottom w:val="single" w:sz="4" w:space="0" w:color="auto"/>
              <w:right w:val="single" w:sz="4" w:space="0" w:color="auto"/>
            </w:tcBorders>
            <w:vAlign w:val="center"/>
            <w:hideMark/>
          </w:tcPr>
          <w:p w14:paraId="6172FAD6"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Acciones en tesorería con capital pagado ordinario</w:t>
            </w:r>
          </w:p>
        </w:tc>
      </w:tr>
      <w:tr w:rsidR="00F87CD2" w:rsidRPr="00F87CD2" w14:paraId="505B3A2F"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14482B1C"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20115300</w:t>
            </w:r>
          </w:p>
        </w:tc>
        <w:tc>
          <w:tcPr>
            <w:tcW w:w="662" w:type="pct"/>
            <w:tcBorders>
              <w:top w:val="nil"/>
              <w:left w:val="nil"/>
              <w:bottom w:val="single" w:sz="4" w:space="0" w:color="auto"/>
              <w:right w:val="single" w:sz="4" w:space="0" w:color="auto"/>
            </w:tcBorders>
            <w:noWrap/>
            <w:vAlign w:val="bottom"/>
            <w:hideMark/>
          </w:tcPr>
          <w:p w14:paraId="2FAA91B0"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20110000</w:t>
            </w:r>
          </w:p>
        </w:tc>
        <w:tc>
          <w:tcPr>
            <w:tcW w:w="3633" w:type="pct"/>
            <w:tcBorders>
              <w:top w:val="nil"/>
              <w:left w:val="nil"/>
              <w:bottom w:val="single" w:sz="4" w:space="0" w:color="auto"/>
              <w:right w:val="single" w:sz="4" w:space="0" w:color="auto"/>
            </w:tcBorders>
            <w:vAlign w:val="center"/>
            <w:hideMark/>
          </w:tcPr>
          <w:p w14:paraId="3DA3CF79"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Acciones en tesorería con capital pagado preferente con dividendo no acumulativo</w:t>
            </w:r>
          </w:p>
        </w:tc>
      </w:tr>
      <w:tr w:rsidR="00F87CD2" w:rsidRPr="00F87CD2" w14:paraId="39997755"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56D4061F"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20115400</w:t>
            </w:r>
          </w:p>
        </w:tc>
        <w:tc>
          <w:tcPr>
            <w:tcW w:w="662" w:type="pct"/>
            <w:tcBorders>
              <w:top w:val="nil"/>
              <w:left w:val="nil"/>
              <w:bottom w:val="single" w:sz="4" w:space="0" w:color="auto"/>
              <w:right w:val="single" w:sz="4" w:space="0" w:color="auto"/>
            </w:tcBorders>
            <w:noWrap/>
            <w:vAlign w:val="bottom"/>
            <w:hideMark/>
          </w:tcPr>
          <w:p w14:paraId="1EFBC66E"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20110000</w:t>
            </w:r>
          </w:p>
        </w:tc>
        <w:tc>
          <w:tcPr>
            <w:tcW w:w="3633" w:type="pct"/>
            <w:tcBorders>
              <w:top w:val="nil"/>
              <w:left w:val="nil"/>
              <w:bottom w:val="single" w:sz="4" w:space="0" w:color="auto"/>
              <w:right w:val="single" w:sz="4" w:space="0" w:color="auto"/>
            </w:tcBorders>
            <w:vAlign w:val="center"/>
            <w:hideMark/>
          </w:tcPr>
          <w:p w14:paraId="3BF82468"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Participaciones en acciones de otras empresas del grupo financiero</w:t>
            </w:r>
          </w:p>
        </w:tc>
      </w:tr>
      <w:tr w:rsidR="00F87CD2" w:rsidRPr="00F87CD2" w14:paraId="56F3C3FD" w14:textId="77777777" w:rsidTr="00F87CD2">
        <w:trPr>
          <w:trHeight w:val="300"/>
          <w:jc w:val="center"/>
        </w:trPr>
        <w:tc>
          <w:tcPr>
            <w:tcW w:w="706" w:type="pct"/>
            <w:tcBorders>
              <w:top w:val="nil"/>
              <w:left w:val="single" w:sz="4" w:space="0" w:color="auto"/>
              <w:bottom w:val="single" w:sz="4" w:space="0" w:color="auto"/>
              <w:right w:val="single" w:sz="4" w:space="0" w:color="auto"/>
            </w:tcBorders>
            <w:noWrap/>
            <w:vAlign w:val="bottom"/>
            <w:hideMark/>
          </w:tcPr>
          <w:p w14:paraId="4F83D1A4"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662" w:type="pct"/>
            <w:tcBorders>
              <w:top w:val="nil"/>
              <w:left w:val="nil"/>
              <w:bottom w:val="single" w:sz="4" w:space="0" w:color="auto"/>
              <w:right w:val="single" w:sz="4" w:space="0" w:color="auto"/>
            </w:tcBorders>
            <w:noWrap/>
            <w:vAlign w:val="bottom"/>
            <w:hideMark/>
          </w:tcPr>
          <w:p w14:paraId="0F0E71A6"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20100000</w:t>
            </w:r>
          </w:p>
        </w:tc>
        <w:tc>
          <w:tcPr>
            <w:tcW w:w="3633" w:type="pct"/>
            <w:tcBorders>
              <w:top w:val="nil"/>
              <w:left w:val="nil"/>
              <w:bottom w:val="single" w:sz="4" w:space="0" w:color="auto"/>
              <w:right w:val="single" w:sz="4" w:space="0" w:color="auto"/>
            </w:tcBorders>
            <w:noWrap/>
            <w:vAlign w:val="center"/>
            <w:hideMark/>
          </w:tcPr>
          <w:p w14:paraId="382AA474" w14:textId="77777777" w:rsidR="00F87CD2" w:rsidRPr="00F87CD2" w:rsidRDefault="00F87CD2">
            <w:pPr>
              <w:ind w:firstLineChars="300" w:firstLine="663"/>
              <w:rPr>
                <w:rFonts w:ascii="Arial" w:hAnsi="Arial" w:cs="Arial"/>
                <w:b/>
                <w:bCs/>
                <w:szCs w:val="22"/>
                <w:lang w:val="es-CR" w:eastAsia="es-CR"/>
              </w:rPr>
            </w:pPr>
            <w:r w:rsidRPr="00F87CD2">
              <w:rPr>
                <w:rFonts w:ascii="Arial" w:hAnsi="Arial" w:cs="Arial"/>
                <w:b/>
                <w:bCs/>
                <w:szCs w:val="22"/>
                <w:lang w:val="es-CR" w:eastAsia="es-CR"/>
              </w:rPr>
              <w:t>A.2- CAPITAL SECUNDARIO</w:t>
            </w:r>
          </w:p>
        </w:tc>
      </w:tr>
      <w:tr w:rsidR="00F87CD2" w:rsidRPr="00F87CD2" w14:paraId="16687C94"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60B2B68C"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20120100</w:t>
            </w:r>
          </w:p>
        </w:tc>
        <w:tc>
          <w:tcPr>
            <w:tcW w:w="662" w:type="pct"/>
            <w:tcBorders>
              <w:top w:val="nil"/>
              <w:left w:val="nil"/>
              <w:bottom w:val="single" w:sz="4" w:space="0" w:color="auto"/>
              <w:right w:val="single" w:sz="4" w:space="0" w:color="auto"/>
            </w:tcBorders>
            <w:noWrap/>
            <w:vAlign w:val="bottom"/>
            <w:hideMark/>
          </w:tcPr>
          <w:p w14:paraId="4311F971"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noWrap/>
            <w:vAlign w:val="bottom"/>
            <w:hideMark/>
          </w:tcPr>
          <w:p w14:paraId="239B4310"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Capital pagado preferente con dividendo acumulativo</w:t>
            </w:r>
          </w:p>
        </w:tc>
      </w:tr>
      <w:tr w:rsidR="00F87CD2" w:rsidRPr="00F87CD2" w14:paraId="4E0FB9A0"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41800358"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20120200</w:t>
            </w:r>
          </w:p>
        </w:tc>
        <w:tc>
          <w:tcPr>
            <w:tcW w:w="662" w:type="pct"/>
            <w:tcBorders>
              <w:top w:val="nil"/>
              <w:left w:val="nil"/>
              <w:bottom w:val="single" w:sz="4" w:space="0" w:color="auto"/>
              <w:right w:val="single" w:sz="4" w:space="0" w:color="auto"/>
            </w:tcBorders>
            <w:noWrap/>
            <w:vAlign w:val="bottom"/>
            <w:hideMark/>
          </w:tcPr>
          <w:p w14:paraId="670D2F0B"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vAlign w:val="bottom"/>
            <w:hideMark/>
          </w:tcPr>
          <w:p w14:paraId="7FD29E4C"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Ajustes al patrimonio por revaluación de bienes inmuebles (no mayor al 75% del monto)</w:t>
            </w:r>
          </w:p>
        </w:tc>
      </w:tr>
      <w:tr w:rsidR="00F87CD2" w:rsidRPr="00F87CD2" w14:paraId="43015A03"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4C511E3E"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20120300</w:t>
            </w:r>
          </w:p>
        </w:tc>
        <w:tc>
          <w:tcPr>
            <w:tcW w:w="662" w:type="pct"/>
            <w:tcBorders>
              <w:top w:val="nil"/>
              <w:left w:val="nil"/>
              <w:bottom w:val="single" w:sz="4" w:space="0" w:color="auto"/>
              <w:right w:val="single" w:sz="4" w:space="0" w:color="auto"/>
            </w:tcBorders>
            <w:noWrap/>
            <w:vAlign w:val="bottom"/>
            <w:hideMark/>
          </w:tcPr>
          <w:p w14:paraId="5F0218AC"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noWrap/>
            <w:vAlign w:val="bottom"/>
            <w:hideMark/>
          </w:tcPr>
          <w:p w14:paraId="6E796AC1"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Aportes por capitalizar pendientes de autorización</w:t>
            </w:r>
          </w:p>
        </w:tc>
      </w:tr>
      <w:tr w:rsidR="00F87CD2" w:rsidRPr="00F87CD2" w14:paraId="6E3DF8D4"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25E6EE26"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20120400</w:t>
            </w:r>
          </w:p>
        </w:tc>
        <w:tc>
          <w:tcPr>
            <w:tcW w:w="662" w:type="pct"/>
            <w:tcBorders>
              <w:top w:val="nil"/>
              <w:left w:val="nil"/>
              <w:bottom w:val="single" w:sz="4" w:space="0" w:color="auto"/>
              <w:right w:val="single" w:sz="4" w:space="0" w:color="auto"/>
            </w:tcBorders>
            <w:noWrap/>
            <w:vAlign w:val="bottom"/>
            <w:hideMark/>
          </w:tcPr>
          <w:p w14:paraId="274ADF1B"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noWrap/>
            <w:vAlign w:val="bottom"/>
            <w:hideMark/>
          </w:tcPr>
          <w:p w14:paraId="7E5DC43B"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Donaciones por capitalizar pendientes de autorización</w:t>
            </w:r>
          </w:p>
        </w:tc>
      </w:tr>
      <w:tr w:rsidR="00F87CD2" w:rsidRPr="00F87CD2" w14:paraId="141DA433"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5A7FBE59"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20120500</w:t>
            </w:r>
          </w:p>
        </w:tc>
        <w:tc>
          <w:tcPr>
            <w:tcW w:w="662" w:type="pct"/>
            <w:tcBorders>
              <w:top w:val="nil"/>
              <w:left w:val="nil"/>
              <w:bottom w:val="single" w:sz="4" w:space="0" w:color="auto"/>
              <w:right w:val="single" w:sz="4" w:space="0" w:color="auto"/>
            </w:tcBorders>
            <w:noWrap/>
            <w:vAlign w:val="bottom"/>
            <w:hideMark/>
          </w:tcPr>
          <w:p w14:paraId="71B6345F"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noWrap/>
            <w:vAlign w:val="bottom"/>
            <w:hideMark/>
          </w:tcPr>
          <w:p w14:paraId="76040AC2"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Donaciones y otras contribuciones no capitalizables</w:t>
            </w:r>
          </w:p>
        </w:tc>
      </w:tr>
      <w:tr w:rsidR="00F87CD2" w:rsidRPr="00F87CD2" w14:paraId="0E1A0DDB" w14:textId="77777777" w:rsidTr="00F87CD2">
        <w:trPr>
          <w:trHeight w:val="270"/>
          <w:jc w:val="center"/>
        </w:trPr>
        <w:tc>
          <w:tcPr>
            <w:tcW w:w="706" w:type="pct"/>
            <w:tcBorders>
              <w:top w:val="nil"/>
              <w:left w:val="single" w:sz="4" w:space="0" w:color="auto"/>
              <w:bottom w:val="single" w:sz="4" w:space="0" w:color="auto"/>
              <w:right w:val="single" w:sz="4" w:space="0" w:color="auto"/>
            </w:tcBorders>
            <w:noWrap/>
            <w:vAlign w:val="bottom"/>
            <w:hideMark/>
          </w:tcPr>
          <w:p w14:paraId="5030E569"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20120600</w:t>
            </w:r>
          </w:p>
        </w:tc>
        <w:tc>
          <w:tcPr>
            <w:tcW w:w="662" w:type="pct"/>
            <w:tcBorders>
              <w:top w:val="nil"/>
              <w:left w:val="nil"/>
              <w:bottom w:val="single" w:sz="4" w:space="0" w:color="auto"/>
              <w:right w:val="single" w:sz="4" w:space="0" w:color="auto"/>
            </w:tcBorders>
            <w:noWrap/>
            <w:vAlign w:val="bottom"/>
            <w:hideMark/>
          </w:tcPr>
          <w:p w14:paraId="7EDDBF6A"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vAlign w:val="bottom"/>
            <w:hideMark/>
          </w:tcPr>
          <w:p w14:paraId="1C053048"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Aumento al patrimonio por valoración a precios de mercado de las inversiones propias</w:t>
            </w:r>
          </w:p>
        </w:tc>
      </w:tr>
      <w:tr w:rsidR="00F87CD2" w:rsidRPr="00F87CD2" w14:paraId="69853E9F" w14:textId="77777777" w:rsidTr="00F87CD2">
        <w:trPr>
          <w:trHeight w:val="270"/>
          <w:jc w:val="center"/>
        </w:trPr>
        <w:tc>
          <w:tcPr>
            <w:tcW w:w="706" w:type="pct"/>
            <w:tcBorders>
              <w:top w:val="nil"/>
              <w:left w:val="single" w:sz="4" w:space="0" w:color="auto"/>
              <w:bottom w:val="single" w:sz="4" w:space="0" w:color="auto"/>
              <w:right w:val="single" w:sz="4" w:space="0" w:color="auto"/>
            </w:tcBorders>
            <w:noWrap/>
            <w:vAlign w:val="bottom"/>
            <w:hideMark/>
          </w:tcPr>
          <w:p w14:paraId="189239EA"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20120700</w:t>
            </w:r>
          </w:p>
        </w:tc>
        <w:tc>
          <w:tcPr>
            <w:tcW w:w="662" w:type="pct"/>
            <w:tcBorders>
              <w:top w:val="nil"/>
              <w:left w:val="nil"/>
              <w:bottom w:val="single" w:sz="4" w:space="0" w:color="auto"/>
              <w:right w:val="single" w:sz="4" w:space="0" w:color="auto"/>
            </w:tcBorders>
            <w:noWrap/>
            <w:vAlign w:val="bottom"/>
            <w:hideMark/>
          </w:tcPr>
          <w:p w14:paraId="3CC4980E"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noWrap/>
            <w:vAlign w:val="bottom"/>
            <w:hideMark/>
          </w:tcPr>
          <w:p w14:paraId="5D0A26F4"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Utilidad acumulada de periodos anteriores</w:t>
            </w:r>
          </w:p>
        </w:tc>
      </w:tr>
      <w:tr w:rsidR="00F87CD2" w:rsidRPr="00F87CD2" w14:paraId="5435E45F"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37C04DC0"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20120800</w:t>
            </w:r>
          </w:p>
        </w:tc>
        <w:tc>
          <w:tcPr>
            <w:tcW w:w="662" w:type="pct"/>
            <w:tcBorders>
              <w:top w:val="nil"/>
              <w:left w:val="nil"/>
              <w:bottom w:val="single" w:sz="4" w:space="0" w:color="auto"/>
              <w:right w:val="single" w:sz="4" w:space="0" w:color="auto"/>
            </w:tcBorders>
            <w:noWrap/>
            <w:vAlign w:val="bottom"/>
            <w:hideMark/>
          </w:tcPr>
          <w:p w14:paraId="67739F7B"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noWrap/>
            <w:vAlign w:val="bottom"/>
            <w:hideMark/>
          </w:tcPr>
          <w:p w14:paraId="59BA1EA1"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Utilidad del periodo actual</w:t>
            </w:r>
          </w:p>
        </w:tc>
      </w:tr>
      <w:tr w:rsidR="00F87CD2" w:rsidRPr="00F87CD2" w14:paraId="07FFAD35" w14:textId="77777777" w:rsidTr="00F87CD2">
        <w:trPr>
          <w:trHeight w:val="375"/>
          <w:jc w:val="center"/>
        </w:trPr>
        <w:tc>
          <w:tcPr>
            <w:tcW w:w="706" w:type="pct"/>
            <w:tcBorders>
              <w:top w:val="nil"/>
              <w:left w:val="single" w:sz="4" w:space="0" w:color="auto"/>
              <w:bottom w:val="single" w:sz="4" w:space="0" w:color="auto"/>
              <w:right w:val="single" w:sz="4" w:space="0" w:color="auto"/>
            </w:tcBorders>
            <w:noWrap/>
            <w:vAlign w:val="bottom"/>
            <w:hideMark/>
          </w:tcPr>
          <w:p w14:paraId="32870134"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20125100</w:t>
            </w:r>
          </w:p>
        </w:tc>
        <w:tc>
          <w:tcPr>
            <w:tcW w:w="662" w:type="pct"/>
            <w:tcBorders>
              <w:top w:val="nil"/>
              <w:left w:val="nil"/>
              <w:bottom w:val="single" w:sz="4" w:space="0" w:color="auto"/>
              <w:right w:val="single" w:sz="4" w:space="0" w:color="auto"/>
            </w:tcBorders>
            <w:noWrap/>
            <w:vAlign w:val="bottom"/>
            <w:hideMark/>
          </w:tcPr>
          <w:p w14:paraId="004608ED"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vAlign w:val="bottom"/>
            <w:hideMark/>
          </w:tcPr>
          <w:p w14:paraId="19D12831"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Acciones en tesorería de capital pagado preferente con dividendo acumulativo</w:t>
            </w:r>
          </w:p>
        </w:tc>
      </w:tr>
      <w:tr w:rsidR="00F87CD2" w:rsidRPr="00F87CD2" w14:paraId="7E6CDD0D" w14:textId="77777777" w:rsidTr="00F87CD2">
        <w:trPr>
          <w:trHeight w:val="555"/>
          <w:jc w:val="center"/>
        </w:trPr>
        <w:tc>
          <w:tcPr>
            <w:tcW w:w="706" w:type="pct"/>
            <w:tcBorders>
              <w:top w:val="nil"/>
              <w:left w:val="single" w:sz="4" w:space="0" w:color="auto"/>
              <w:bottom w:val="single" w:sz="4" w:space="0" w:color="auto"/>
              <w:right w:val="single" w:sz="4" w:space="0" w:color="auto"/>
            </w:tcBorders>
            <w:noWrap/>
            <w:vAlign w:val="bottom"/>
            <w:hideMark/>
          </w:tcPr>
          <w:p w14:paraId="76A47E15"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20125200</w:t>
            </w:r>
          </w:p>
        </w:tc>
        <w:tc>
          <w:tcPr>
            <w:tcW w:w="662" w:type="pct"/>
            <w:tcBorders>
              <w:top w:val="nil"/>
              <w:left w:val="nil"/>
              <w:bottom w:val="single" w:sz="4" w:space="0" w:color="auto"/>
              <w:right w:val="single" w:sz="4" w:space="0" w:color="auto"/>
            </w:tcBorders>
            <w:noWrap/>
            <w:vAlign w:val="bottom"/>
            <w:hideMark/>
          </w:tcPr>
          <w:p w14:paraId="1F85E7FE"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vAlign w:val="bottom"/>
            <w:hideMark/>
          </w:tcPr>
          <w:p w14:paraId="6F21CAC5"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Disminución al patrimonio por deterioro y valoración a precios de mercado de las inversiones propias</w:t>
            </w:r>
          </w:p>
        </w:tc>
      </w:tr>
      <w:tr w:rsidR="00F87CD2" w:rsidRPr="00F87CD2" w14:paraId="360BE5A8"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316934BC"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20125300</w:t>
            </w:r>
          </w:p>
        </w:tc>
        <w:tc>
          <w:tcPr>
            <w:tcW w:w="662" w:type="pct"/>
            <w:tcBorders>
              <w:top w:val="nil"/>
              <w:left w:val="nil"/>
              <w:bottom w:val="single" w:sz="4" w:space="0" w:color="auto"/>
              <w:right w:val="single" w:sz="4" w:space="0" w:color="auto"/>
            </w:tcBorders>
            <w:noWrap/>
            <w:vAlign w:val="bottom"/>
            <w:hideMark/>
          </w:tcPr>
          <w:p w14:paraId="2C18D143"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noWrap/>
            <w:vAlign w:val="bottom"/>
            <w:hideMark/>
          </w:tcPr>
          <w:p w14:paraId="4F20BD53"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Pérdida acumulada de periodos anteriores</w:t>
            </w:r>
          </w:p>
        </w:tc>
      </w:tr>
      <w:tr w:rsidR="00F87CD2" w:rsidRPr="00F87CD2" w14:paraId="21C42DE3"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017622F8"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20125400</w:t>
            </w:r>
          </w:p>
        </w:tc>
        <w:tc>
          <w:tcPr>
            <w:tcW w:w="662" w:type="pct"/>
            <w:tcBorders>
              <w:top w:val="nil"/>
              <w:left w:val="nil"/>
              <w:bottom w:val="single" w:sz="4" w:space="0" w:color="auto"/>
              <w:right w:val="single" w:sz="4" w:space="0" w:color="auto"/>
            </w:tcBorders>
            <w:noWrap/>
            <w:vAlign w:val="bottom"/>
            <w:hideMark/>
          </w:tcPr>
          <w:p w14:paraId="2C283BC4"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20120000</w:t>
            </w:r>
          </w:p>
        </w:tc>
        <w:tc>
          <w:tcPr>
            <w:tcW w:w="3633" w:type="pct"/>
            <w:tcBorders>
              <w:top w:val="nil"/>
              <w:left w:val="nil"/>
              <w:bottom w:val="single" w:sz="4" w:space="0" w:color="auto"/>
              <w:right w:val="single" w:sz="4" w:space="0" w:color="auto"/>
            </w:tcBorders>
            <w:noWrap/>
            <w:vAlign w:val="bottom"/>
            <w:hideMark/>
          </w:tcPr>
          <w:p w14:paraId="1E89A679"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Pérdida del periodo actual</w:t>
            </w:r>
          </w:p>
        </w:tc>
      </w:tr>
      <w:tr w:rsidR="00F87CD2" w:rsidRPr="00F87CD2" w14:paraId="45C0911A" w14:textId="77777777" w:rsidTr="00F87CD2">
        <w:trPr>
          <w:trHeight w:val="300"/>
          <w:jc w:val="center"/>
        </w:trPr>
        <w:tc>
          <w:tcPr>
            <w:tcW w:w="706" w:type="pct"/>
            <w:tcBorders>
              <w:top w:val="nil"/>
              <w:left w:val="single" w:sz="4" w:space="0" w:color="auto"/>
              <w:bottom w:val="single" w:sz="4" w:space="0" w:color="auto"/>
              <w:right w:val="single" w:sz="4" w:space="0" w:color="auto"/>
            </w:tcBorders>
            <w:noWrap/>
            <w:vAlign w:val="bottom"/>
            <w:hideMark/>
          </w:tcPr>
          <w:p w14:paraId="7E2128F4"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20130000</w:t>
            </w:r>
          </w:p>
        </w:tc>
        <w:tc>
          <w:tcPr>
            <w:tcW w:w="662" w:type="pct"/>
            <w:tcBorders>
              <w:top w:val="nil"/>
              <w:left w:val="nil"/>
              <w:bottom w:val="single" w:sz="4" w:space="0" w:color="auto"/>
              <w:right w:val="single" w:sz="4" w:space="0" w:color="auto"/>
            </w:tcBorders>
            <w:noWrap/>
            <w:vAlign w:val="bottom"/>
            <w:hideMark/>
          </w:tcPr>
          <w:p w14:paraId="592D05C6"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20100000</w:t>
            </w:r>
          </w:p>
        </w:tc>
        <w:tc>
          <w:tcPr>
            <w:tcW w:w="3633" w:type="pct"/>
            <w:tcBorders>
              <w:top w:val="nil"/>
              <w:left w:val="nil"/>
              <w:bottom w:val="single" w:sz="4" w:space="0" w:color="auto"/>
              <w:right w:val="single" w:sz="4" w:space="0" w:color="auto"/>
            </w:tcBorders>
            <w:noWrap/>
            <w:vAlign w:val="center"/>
            <w:hideMark/>
          </w:tcPr>
          <w:p w14:paraId="2F43592B" w14:textId="77777777" w:rsidR="00F87CD2" w:rsidRPr="00F87CD2" w:rsidRDefault="00F87CD2">
            <w:pPr>
              <w:ind w:firstLineChars="300" w:firstLine="663"/>
              <w:rPr>
                <w:rFonts w:ascii="Arial" w:hAnsi="Arial" w:cs="Arial"/>
                <w:b/>
                <w:bCs/>
                <w:szCs w:val="22"/>
                <w:lang w:val="es-CR" w:eastAsia="es-CR"/>
              </w:rPr>
            </w:pPr>
            <w:r w:rsidRPr="00F87CD2">
              <w:rPr>
                <w:rFonts w:ascii="Arial" w:hAnsi="Arial" w:cs="Arial"/>
                <w:b/>
                <w:bCs/>
                <w:szCs w:val="22"/>
                <w:lang w:val="es-CR" w:eastAsia="es-CR"/>
              </w:rPr>
              <w:t>A.3- TOTAL DE DEDUCCIONES</w:t>
            </w:r>
          </w:p>
        </w:tc>
      </w:tr>
      <w:tr w:rsidR="00F87CD2" w:rsidRPr="00F87CD2" w14:paraId="1E1A5264"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078B5B0E"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20130100</w:t>
            </w:r>
          </w:p>
        </w:tc>
        <w:tc>
          <w:tcPr>
            <w:tcW w:w="662" w:type="pct"/>
            <w:tcBorders>
              <w:top w:val="nil"/>
              <w:left w:val="nil"/>
              <w:bottom w:val="single" w:sz="4" w:space="0" w:color="auto"/>
              <w:right w:val="single" w:sz="4" w:space="0" w:color="auto"/>
            </w:tcBorders>
            <w:noWrap/>
            <w:vAlign w:val="bottom"/>
            <w:hideMark/>
          </w:tcPr>
          <w:p w14:paraId="0830DBF1"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20130000</w:t>
            </w:r>
          </w:p>
        </w:tc>
        <w:tc>
          <w:tcPr>
            <w:tcW w:w="3633" w:type="pct"/>
            <w:tcBorders>
              <w:top w:val="nil"/>
              <w:left w:val="nil"/>
              <w:bottom w:val="single" w:sz="4" w:space="0" w:color="auto"/>
              <w:right w:val="single" w:sz="4" w:space="0" w:color="auto"/>
            </w:tcBorders>
            <w:vAlign w:val="center"/>
            <w:hideMark/>
          </w:tcPr>
          <w:p w14:paraId="55725456"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100% Préstamos por cobrar</w:t>
            </w:r>
          </w:p>
        </w:tc>
      </w:tr>
      <w:tr w:rsidR="00F87CD2" w:rsidRPr="00F87CD2" w14:paraId="64353A14"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72D7966C"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20130200</w:t>
            </w:r>
          </w:p>
        </w:tc>
        <w:tc>
          <w:tcPr>
            <w:tcW w:w="662" w:type="pct"/>
            <w:tcBorders>
              <w:top w:val="nil"/>
              <w:left w:val="nil"/>
              <w:bottom w:val="single" w:sz="4" w:space="0" w:color="auto"/>
              <w:right w:val="single" w:sz="4" w:space="0" w:color="auto"/>
            </w:tcBorders>
            <w:noWrap/>
            <w:vAlign w:val="bottom"/>
            <w:hideMark/>
          </w:tcPr>
          <w:p w14:paraId="53B2B41B"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20130000</w:t>
            </w:r>
          </w:p>
        </w:tc>
        <w:tc>
          <w:tcPr>
            <w:tcW w:w="3633" w:type="pct"/>
            <w:tcBorders>
              <w:top w:val="nil"/>
              <w:left w:val="nil"/>
              <w:bottom w:val="single" w:sz="4" w:space="0" w:color="auto"/>
              <w:right w:val="single" w:sz="4" w:space="0" w:color="auto"/>
            </w:tcBorders>
            <w:noWrap/>
            <w:vAlign w:val="center"/>
            <w:hideMark/>
          </w:tcPr>
          <w:p w14:paraId="09B447DA"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100% Cuentas y productos por cobrar</w:t>
            </w:r>
          </w:p>
        </w:tc>
      </w:tr>
      <w:tr w:rsidR="00F87CD2" w:rsidRPr="00F87CD2" w14:paraId="2A97C5EE"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690200D5"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20130300</w:t>
            </w:r>
          </w:p>
        </w:tc>
        <w:tc>
          <w:tcPr>
            <w:tcW w:w="662" w:type="pct"/>
            <w:tcBorders>
              <w:top w:val="nil"/>
              <w:left w:val="nil"/>
              <w:bottom w:val="single" w:sz="4" w:space="0" w:color="auto"/>
              <w:right w:val="single" w:sz="4" w:space="0" w:color="auto"/>
            </w:tcBorders>
            <w:noWrap/>
            <w:vAlign w:val="bottom"/>
            <w:hideMark/>
          </w:tcPr>
          <w:p w14:paraId="0CE6D6FB"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20130000</w:t>
            </w:r>
          </w:p>
        </w:tc>
        <w:tc>
          <w:tcPr>
            <w:tcW w:w="3633" w:type="pct"/>
            <w:tcBorders>
              <w:top w:val="nil"/>
              <w:left w:val="nil"/>
              <w:bottom w:val="single" w:sz="4" w:space="0" w:color="auto"/>
              <w:right w:val="single" w:sz="4" w:space="0" w:color="auto"/>
            </w:tcBorders>
            <w:vAlign w:val="center"/>
            <w:hideMark/>
          </w:tcPr>
          <w:p w14:paraId="0ED2085E"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100% Comisiones por cobrar</w:t>
            </w:r>
          </w:p>
        </w:tc>
      </w:tr>
      <w:tr w:rsidR="00F87CD2" w:rsidRPr="00F87CD2" w14:paraId="76E7AF51" w14:textId="77777777" w:rsidTr="00F87CD2">
        <w:trPr>
          <w:trHeight w:val="570"/>
          <w:jc w:val="center"/>
        </w:trPr>
        <w:tc>
          <w:tcPr>
            <w:tcW w:w="706" w:type="pct"/>
            <w:tcBorders>
              <w:top w:val="nil"/>
              <w:left w:val="single" w:sz="4" w:space="0" w:color="auto"/>
              <w:bottom w:val="single" w:sz="4" w:space="0" w:color="auto"/>
              <w:right w:val="single" w:sz="4" w:space="0" w:color="auto"/>
            </w:tcBorders>
            <w:noWrap/>
            <w:vAlign w:val="bottom"/>
            <w:hideMark/>
          </w:tcPr>
          <w:p w14:paraId="1B9115C1"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20130400</w:t>
            </w:r>
          </w:p>
        </w:tc>
        <w:tc>
          <w:tcPr>
            <w:tcW w:w="662" w:type="pct"/>
            <w:tcBorders>
              <w:top w:val="nil"/>
              <w:left w:val="nil"/>
              <w:bottom w:val="single" w:sz="4" w:space="0" w:color="auto"/>
              <w:right w:val="single" w:sz="4" w:space="0" w:color="auto"/>
            </w:tcBorders>
            <w:noWrap/>
            <w:vAlign w:val="bottom"/>
            <w:hideMark/>
          </w:tcPr>
          <w:p w14:paraId="27FC3BDF"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20130000</w:t>
            </w:r>
          </w:p>
        </w:tc>
        <w:tc>
          <w:tcPr>
            <w:tcW w:w="3633" w:type="pct"/>
            <w:tcBorders>
              <w:top w:val="nil"/>
              <w:left w:val="nil"/>
              <w:bottom w:val="single" w:sz="4" w:space="0" w:color="auto"/>
              <w:right w:val="single" w:sz="4" w:space="0" w:color="auto"/>
            </w:tcBorders>
            <w:vAlign w:val="center"/>
            <w:hideMark/>
          </w:tcPr>
          <w:p w14:paraId="12919AAE"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100% de inversiones en instrumentos financieros en entidades en cesión de pagos, morosos o en litigios</w:t>
            </w:r>
          </w:p>
        </w:tc>
      </w:tr>
      <w:tr w:rsidR="00F87CD2" w:rsidRPr="00F87CD2" w14:paraId="0E8E2728" w14:textId="77777777" w:rsidTr="00F87CD2">
        <w:trPr>
          <w:trHeight w:val="570"/>
          <w:jc w:val="center"/>
        </w:trPr>
        <w:tc>
          <w:tcPr>
            <w:tcW w:w="706" w:type="pct"/>
            <w:tcBorders>
              <w:top w:val="nil"/>
              <w:left w:val="single" w:sz="4" w:space="0" w:color="auto"/>
              <w:bottom w:val="single" w:sz="4" w:space="0" w:color="auto"/>
              <w:right w:val="single" w:sz="4" w:space="0" w:color="auto"/>
            </w:tcBorders>
            <w:noWrap/>
            <w:vAlign w:val="bottom"/>
            <w:hideMark/>
          </w:tcPr>
          <w:p w14:paraId="313DB9C7"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20130500</w:t>
            </w:r>
          </w:p>
        </w:tc>
        <w:tc>
          <w:tcPr>
            <w:tcW w:w="662" w:type="pct"/>
            <w:tcBorders>
              <w:top w:val="nil"/>
              <w:left w:val="nil"/>
              <w:bottom w:val="single" w:sz="4" w:space="0" w:color="auto"/>
              <w:right w:val="single" w:sz="4" w:space="0" w:color="auto"/>
            </w:tcBorders>
            <w:noWrap/>
            <w:vAlign w:val="bottom"/>
            <w:hideMark/>
          </w:tcPr>
          <w:p w14:paraId="280CCACE"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20130000</w:t>
            </w:r>
          </w:p>
        </w:tc>
        <w:tc>
          <w:tcPr>
            <w:tcW w:w="3633" w:type="pct"/>
            <w:tcBorders>
              <w:top w:val="nil"/>
              <w:left w:val="nil"/>
              <w:bottom w:val="single" w:sz="4" w:space="0" w:color="auto"/>
              <w:right w:val="single" w:sz="4" w:space="0" w:color="auto"/>
            </w:tcBorders>
            <w:vAlign w:val="center"/>
            <w:hideMark/>
          </w:tcPr>
          <w:p w14:paraId="0DCD0D91"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100% Activos restringidos (se excluyen los títulos dados en garantía de reporto tripartito, reporto y mercado de liquidez)</w:t>
            </w:r>
          </w:p>
        </w:tc>
      </w:tr>
      <w:tr w:rsidR="00F87CD2" w:rsidRPr="00F87CD2" w14:paraId="5485D668"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7E80D4D6"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20130600</w:t>
            </w:r>
          </w:p>
        </w:tc>
        <w:tc>
          <w:tcPr>
            <w:tcW w:w="662" w:type="pct"/>
            <w:tcBorders>
              <w:top w:val="nil"/>
              <w:left w:val="nil"/>
              <w:bottom w:val="single" w:sz="4" w:space="0" w:color="auto"/>
              <w:right w:val="single" w:sz="4" w:space="0" w:color="auto"/>
            </w:tcBorders>
            <w:noWrap/>
            <w:vAlign w:val="bottom"/>
            <w:hideMark/>
          </w:tcPr>
          <w:p w14:paraId="2F72157F"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20130000</w:t>
            </w:r>
          </w:p>
        </w:tc>
        <w:tc>
          <w:tcPr>
            <w:tcW w:w="3633" w:type="pct"/>
            <w:tcBorders>
              <w:top w:val="nil"/>
              <w:left w:val="nil"/>
              <w:bottom w:val="single" w:sz="4" w:space="0" w:color="auto"/>
              <w:right w:val="single" w:sz="4" w:space="0" w:color="auto"/>
            </w:tcBorders>
            <w:noWrap/>
            <w:vAlign w:val="bottom"/>
            <w:hideMark/>
          </w:tcPr>
          <w:p w14:paraId="46AF7770"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100% Activos diferidos</w:t>
            </w:r>
          </w:p>
        </w:tc>
      </w:tr>
      <w:tr w:rsidR="00F87CD2" w:rsidRPr="00F87CD2" w14:paraId="246F8EDC"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2D7F4201"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20130700</w:t>
            </w:r>
          </w:p>
        </w:tc>
        <w:tc>
          <w:tcPr>
            <w:tcW w:w="662" w:type="pct"/>
            <w:tcBorders>
              <w:top w:val="nil"/>
              <w:left w:val="nil"/>
              <w:bottom w:val="single" w:sz="4" w:space="0" w:color="auto"/>
              <w:right w:val="single" w:sz="4" w:space="0" w:color="auto"/>
            </w:tcBorders>
            <w:noWrap/>
            <w:vAlign w:val="bottom"/>
            <w:hideMark/>
          </w:tcPr>
          <w:p w14:paraId="0613DB43"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20130000</w:t>
            </w:r>
          </w:p>
        </w:tc>
        <w:tc>
          <w:tcPr>
            <w:tcW w:w="3633" w:type="pct"/>
            <w:tcBorders>
              <w:top w:val="nil"/>
              <w:left w:val="nil"/>
              <w:bottom w:val="single" w:sz="4" w:space="0" w:color="auto"/>
              <w:right w:val="single" w:sz="4" w:space="0" w:color="auto"/>
            </w:tcBorders>
            <w:noWrap/>
            <w:vAlign w:val="bottom"/>
            <w:hideMark/>
          </w:tcPr>
          <w:p w14:paraId="42CF43F9"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100% Gastos pagados por anticipado</w:t>
            </w:r>
          </w:p>
        </w:tc>
      </w:tr>
      <w:tr w:rsidR="00F87CD2" w:rsidRPr="00F87CD2" w14:paraId="5B9AB788"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66C85ADF"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20130800</w:t>
            </w:r>
          </w:p>
        </w:tc>
        <w:tc>
          <w:tcPr>
            <w:tcW w:w="662" w:type="pct"/>
            <w:tcBorders>
              <w:top w:val="nil"/>
              <w:left w:val="nil"/>
              <w:bottom w:val="single" w:sz="4" w:space="0" w:color="auto"/>
              <w:right w:val="single" w:sz="4" w:space="0" w:color="auto"/>
            </w:tcBorders>
            <w:noWrap/>
            <w:vAlign w:val="bottom"/>
            <w:hideMark/>
          </w:tcPr>
          <w:p w14:paraId="2F530BC2"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20130000</w:t>
            </w:r>
          </w:p>
        </w:tc>
        <w:tc>
          <w:tcPr>
            <w:tcW w:w="3633" w:type="pct"/>
            <w:tcBorders>
              <w:top w:val="nil"/>
              <w:left w:val="nil"/>
              <w:bottom w:val="single" w:sz="4" w:space="0" w:color="auto"/>
              <w:right w:val="single" w:sz="4" w:space="0" w:color="auto"/>
            </w:tcBorders>
            <w:noWrap/>
            <w:vAlign w:val="bottom"/>
            <w:hideMark/>
          </w:tcPr>
          <w:p w14:paraId="1FF6D6CA"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100% Activos intangibles</w:t>
            </w:r>
          </w:p>
        </w:tc>
      </w:tr>
      <w:tr w:rsidR="00F87CD2" w:rsidRPr="00F87CD2" w14:paraId="4E5DAEA1"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597FC66E"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20130900</w:t>
            </w:r>
          </w:p>
        </w:tc>
        <w:tc>
          <w:tcPr>
            <w:tcW w:w="662" w:type="pct"/>
            <w:tcBorders>
              <w:top w:val="nil"/>
              <w:left w:val="nil"/>
              <w:bottom w:val="single" w:sz="4" w:space="0" w:color="auto"/>
              <w:right w:val="single" w:sz="4" w:space="0" w:color="auto"/>
            </w:tcBorders>
            <w:noWrap/>
            <w:vAlign w:val="bottom"/>
            <w:hideMark/>
          </w:tcPr>
          <w:p w14:paraId="15EC44A1"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20130000</w:t>
            </w:r>
          </w:p>
        </w:tc>
        <w:tc>
          <w:tcPr>
            <w:tcW w:w="3633" w:type="pct"/>
            <w:tcBorders>
              <w:top w:val="nil"/>
              <w:left w:val="nil"/>
              <w:bottom w:val="single" w:sz="4" w:space="0" w:color="auto"/>
              <w:right w:val="single" w:sz="4" w:space="0" w:color="auto"/>
            </w:tcBorders>
            <w:noWrap/>
            <w:vAlign w:val="bottom"/>
            <w:hideMark/>
          </w:tcPr>
          <w:p w14:paraId="24117FB9"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100% Inversiones en propiedades</w:t>
            </w:r>
          </w:p>
        </w:tc>
      </w:tr>
      <w:tr w:rsidR="00F87CD2" w:rsidRPr="00F87CD2" w14:paraId="266738C8"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7B0128D5"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20131000</w:t>
            </w:r>
          </w:p>
        </w:tc>
        <w:tc>
          <w:tcPr>
            <w:tcW w:w="662" w:type="pct"/>
            <w:tcBorders>
              <w:top w:val="nil"/>
              <w:left w:val="nil"/>
              <w:bottom w:val="single" w:sz="4" w:space="0" w:color="auto"/>
              <w:right w:val="single" w:sz="4" w:space="0" w:color="auto"/>
            </w:tcBorders>
            <w:noWrap/>
            <w:vAlign w:val="bottom"/>
            <w:hideMark/>
          </w:tcPr>
          <w:p w14:paraId="7688651E"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20130000</w:t>
            </w:r>
          </w:p>
        </w:tc>
        <w:tc>
          <w:tcPr>
            <w:tcW w:w="3633" w:type="pct"/>
            <w:tcBorders>
              <w:top w:val="nil"/>
              <w:left w:val="nil"/>
              <w:bottom w:val="single" w:sz="4" w:space="0" w:color="auto"/>
              <w:right w:val="single" w:sz="4" w:space="0" w:color="auto"/>
            </w:tcBorders>
            <w:vAlign w:val="center"/>
            <w:hideMark/>
          </w:tcPr>
          <w:p w14:paraId="699C25E9" w14:textId="77777777" w:rsidR="00F87CD2" w:rsidRPr="00F87CD2" w:rsidRDefault="00F87CD2">
            <w:pPr>
              <w:ind w:firstLineChars="600" w:firstLine="1320"/>
              <w:rPr>
                <w:rFonts w:ascii="Arial" w:hAnsi="Arial" w:cs="Arial"/>
                <w:szCs w:val="22"/>
                <w:lang w:val="es-CR" w:eastAsia="es-CR"/>
              </w:rPr>
            </w:pPr>
            <w:r w:rsidRPr="00F87CD2">
              <w:rPr>
                <w:rFonts w:ascii="Arial" w:hAnsi="Arial" w:cs="Arial"/>
                <w:szCs w:val="22"/>
                <w:lang w:val="es-CR" w:eastAsia="es-CR"/>
              </w:rPr>
              <w:t>(menos) 50% Activo fijo neto de depreciación acumulada</w:t>
            </w:r>
          </w:p>
        </w:tc>
      </w:tr>
      <w:tr w:rsidR="00F87CD2" w:rsidRPr="00F87CD2" w14:paraId="3240E12B" w14:textId="77777777" w:rsidTr="00F87CD2">
        <w:trPr>
          <w:trHeight w:val="300"/>
          <w:jc w:val="center"/>
        </w:trPr>
        <w:tc>
          <w:tcPr>
            <w:tcW w:w="706" w:type="pct"/>
            <w:tcBorders>
              <w:top w:val="nil"/>
              <w:left w:val="single" w:sz="4" w:space="0" w:color="auto"/>
              <w:bottom w:val="single" w:sz="4" w:space="0" w:color="auto"/>
              <w:right w:val="single" w:sz="4" w:space="0" w:color="auto"/>
            </w:tcBorders>
            <w:noWrap/>
            <w:vAlign w:val="bottom"/>
            <w:hideMark/>
          </w:tcPr>
          <w:p w14:paraId="60FA2207"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20200000</w:t>
            </w:r>
          </w:p>
        </w:tc>
        <w:tc>
          <w:tcPr>
            <w:tcW w:w="662" w:type="pct"/>
            <w:tcBorders>
              <w:top w:val="nil"/>
              <w:left w:val="nil"/>
              <w:bottom w:val="single" w:sz="4" w:space="0" w:color="auto"/>
              <w:right w:val="single" w:sz="4" w:space="0" w:color="auto"/>
            </w:tcBorders>
            <w:noWrap/>
            <w:vAlign w:val="bottom"/>
            <w:hideMark/>
          </w:tcPr>
          <w:p w14:paraId="76F84A6B"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20000000</w:t>
            </w:r>
          </w:p>
        </w:tc>
        <w:tc>
          <w:tcPr>
            <w:tcW w:w="3633" w:type="pct"/>
            <w:tcBorders>
              <w:top w:val="nil"/>
              <w:left w:val="nil"/>
              <w:bottom w:val="single" w:sz="4" w:space="0" w:color="auto"/>
              <w:right w:val="single" w:sz="4" w:space="0" w:color="auto"/>
            </w:tcBorders>
            <w:noWrap/>
            <w:vAlign w:val="bottom"/>
            <w:hideMark/>
          </w:tcPr>
          <w:p w14:paraId="2E4BEFF2" w14:textId="77777777" w:rsidR="00F87CD2" w:rsidRPr="00F87CD2" w:rsidRDefault="00F87CD2">
            <w:pPr>
              <w:ind w:firstLineChars="200" w:firstLine="442"/>
              <w:rPr>
                <w:rFonts w:ascii="Arial" w:hAnsi="Arial" w:cs="Arial"/>
                <w:b/>
                <w:bCs/>
                <w:szCs w:val="22"/>
                <w:lang w:val="es-CR" w:eastAsia="es-CR"/>
              </w:rPr>
            </w:pPr>
            <w:r w:rsidRPr="00F87CD2">
              <w:rPr>
                <w:rFonts w:ascii="Arial" w:hAnsi="Arial" w:cs="Arial"/>
                <w:b/>
                <w:bCs/>
                <w:szCs w:val="22"/>
                <w:lang w:val="es-CR" w:eastAsia="es-CR"/>
              </w:rPr>
              <w:t>B- REQUERIMIENTOS DE CAPITAL</w:t>
            </w:r>
          </w:p>
        </w:tc>
      </w:tr>
      <w:tr w:rsidR="00F87CD2" w:rsidRPr="00F87CD2" w14:paraId="762A6661"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7E0B08AE"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20250000</w:t>
            </w:r>
          </w:p>
        </w:tc>
        <w:tc>
          <w:tcPr>
            <w:tcW w:w="662" w:type="pct"/>
            <w:tcBorders>
              <w:top w:val="nil"/>
              <w:left w:val="nil"/>
              <w:bottom w:val="single" w:sz="4" w:space="0" w:color="auto"/>
              <w:right w:val="single" w:sz="4" w:space="0" w:color="auto"/>
            </w:tcBorders>
            <w:noWrap/>
            <w:vAlign w:val="bottom"/>
            <w:hideMark/>
          </w:tcPr>
          <w:p w14:paraId="08590828"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20200000</w:t>
            </w:r>
          </w:p>
        </w:tc>
        <w:tc>
          <w:tcPr>
            <w:tcW w:w="3633" w:type="pct"/>
            <w:tcBorders>
              <w:top w:val="nil"/>
              <w:left w:val="nil"/>
              <w:bottom w:val="single" w:sz="4" w:space="0" w:color="auto"/>
              <w:right w:val="single" w:sz="4" w:space="0" w:color="auto"/>
            </w:tcBorders>
            <w:noWrap/>
            <w:vAlign w:val="bottom"/>
            <w:hideMark/>
          </w:tcPr>
          <w:p w14:paraId="5A9A8D45" w14:textId="77777777" w:rsidR="00F87CD2" w:rsidRPr="00F87CD2" w:rsidRDefault="00F87CD2">
            <w:pPr>
              <w:ind w:firstLineChars="400" w:firstLine="880"/>
              <w:rPr>
                <w:rFonts w:ascii="Arial" w:hAnsi="Arial" w:cs="Arial"/>
                <w:szCs w:val="22"/>
                <w:lang w:val="es-CR" w:eastAsia="es-CR"/>
              </w:rPr>
            </w:pPr>
            <w:r w:rsidRPr="00F87CD2">
              <w:rPr>
                <w:rFonts w:ascii="Arial" w:hAnsi="Arial" w:cs="Arial"/>
                <w:szCs w:val="22"/>
                <w:lang w:val="es-CR" w:eastAsia="es-CR"/>
              </w:rPr>
              <w:t>B.1 - Riesgo operativo</w:t>
            </w:r>
          </w:p>
        </w:tc>
      </w:tr>
      <w:tr w:rsidR="00F87CD2" w:rsidRPr="00F87CD2" w14:paraId="514FFCA7" w14:textId="77777777" w:rsidTr="00F87CD2">
        <w:trPr>
          <w:trHeight w:val="285"/>
          <w:jc w:val="center"/>
        </w:trPr>
        <w:tc>
          <w:tcPr>
            <w:tcW w:w="706" w:type="pct"/>
            <w:tcBorders>
              <w:top w:val="nil"/>
              <w:left w:val="single" w:sz="4" w:space="0" w:color="auto"/>
              <w:bottom w:val="single" w:sz="4" w:space="0" w:color="auto"/>
              <w:right w:val="single" w:sz="4" w:space="0" w:color="auto"/>
            </w:tcBorders>
            <w:noWrap/>
            <w:vAlign w:val="bottom"/>
            <w:hideMark/>
          </w:tcPr>
          <w:p w14:paraId="53A6A108"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20250100</w:t>
            </w:r>
          </w:p>
        </w:tc>
        <w:tc>
          <w:tcPr>
            <w:tcW w:w="662" w:type="pct"/>
            <w:tcBorders>
              <w:top w:val="nil"/>
              <w:left w:val="nil"/>
              <w:bottom w:val="single" w:sz="4" w:space="0" w:color="auto"/>
              <w:right w:val="single" w:sz="4" w:space="0" w:color="auto"/>
            </w:tcBorders>
            <w:noWrap/>
            <w:vAlign w:val="bottom"/>
            <w:hideMark/>
          </w:tcPr>
          <w:p w14:paraId="3A7C8B3F" w14:textId="77777777" w:rsidR="00F87CD2" w:rsidRPr="00F87CD2" w:rsidRDefault="00F87CD2">
            <w:pPr>
              <w:rPr>
                <w:rFonts w:ascii="Arial" w:hAnsi="Arial" w:cs="Arial"/>
                <w:szCs w:val="22"/>
                <w:lang w:val="es-CR" w:eastAsia="es-CR"/>
              </w:rPr>
            </w:pPr>
            <w:r w:rsidRPr="00F87CD2">
              <w:rPr>
                <w:rFonts w:ascii="Arial" w:hAnsi="Arial" w:cs="Arial"/>
                <w:szCs w:val="22"/>
                <w:lang w:val="es-CR" w:eastAsia="es-CR"/>
              </w:rPr>
              <w:t>20250000</w:t>
            </w:r>
          </w:p>
        </w:tc>
        <w:tc>
          <w:tcPr>
            <w:tcW w:w="3633" w:type="pct"/>
            <w:tcBorders>
              <w:top w:val="nil"/>
              <w:left w:val="nil"/>
              <w:bottom w:val="single" w:sz="4" w:space="0" w:color="auto"/>
              <w:right w:val="single" w:sz="4" w:space="0" w:color="auto"/>
            </w:tcBorders>
            <w:shd w:val="clear" w:color="auto" w:fill="FFFFFF"/>
            <w:noWrap/>
            <w:vAlign w:val="bottom"/>
            <w:hideMark/>
          </w:tcPr>
          <w:p w14:paraId="56F6B379" w14:textId="77777777" w:rsidR="00F87CD2" w:rsidRPr="00F87CD2" w:rsidRDefault="00F87CD2">
            <w:pPr>
              <w:ind w:firstLineChars="500" w:firstLine="1100"/>
              <w:rPr>
                <w:rFonts w:ascii="Arial" w:hAnsi="Arial" w:cs="Arial"/>
                <w:szCs w:val="22"/>
                <w:lang w:val="es-CR" w:eastAsia="es-CR"/>
              </w:rPr>
            </w:pPr>
            <w:r w:rsidRPr="00F87CD2">
              <w:rPr>
                <w:rFonts w:ascii="Arial" w:hAnsi="Arial" w:cs="Arial"/>
                <w:szCs w:val="22"/>
                <w:lang w:val="es-CR" w:eastAsia="es-CR"/>
              </w:rPr>
              <w:t>B.1.1- Otros eventos de riesgo operativo</w:t>
            </w:r>
          </w:p>
        </w:tc>
      </w:tr>
    </w:tbl>
    <w:p w14:paraId="049C6864" w14:textId="77777777" w:rsidR="00F87CD2" w:rsidRPr="00F87CD2" w:rsidRDefault="00F87CD2" w:rsidP="00F87CD2">
      <w:pPr>
        <w:jc w:val="both"/>
        <w:rPr>
          <w:rFonts w:ascii="Arial" w:eastAsia="Calibri" w:hAnsi="Arial" w:cs="Arial"/>
          <w:color w:val="000000"/>
          <w:szCs w:val="22"/>
          <w:lang w:val="es-CR" w:eastAsia="es-CR"/>
        </w:rPr>
      </w:pPr>
    </w:p>
    <w:p w14:paraId="7F5D7002" w14:textId="77777777" w:rsidR="00F87CD2" w:rsidRPr="00F87CD2" w:rsidRDefault="00F87CD2" w:rsidP="00F87CD2">
      <w:pPr>
        <w:jc w:val="center"/>
        <w:rPr>
          <w:rFonts w:ascii="Arial" w:eastAsia="Calibri" w:hAnsi="Arial" w:cs="Arial"/>
          <w:color w:val="000000"/>
          <w:szCs w:val="22"/>
          <w:lang w:val="es-CR" w:eastAsia="es-CR"/>
        </w:rPr>
      </w:pPr>
      <w:r w:rsidRPr="00F87CD2">
        <w:rPr>
          <w:rFonts w:ascii="Arial" w:eastAsia="Calibri" w:hAnsi="Arial" w:cs="Arial"/>
          <w:color w:val="000000"/>
          <w:szCs w:val="22"/>
          <w:lang w:val="es-CR" w:eastAsia="es-CR"/>
        </w:rPr>
        <w:object w:dxaOrig="1170" w:dyaOrig="765" w14:anchorId="03F3AD37">
          <v:shape id="_x0000_i1028" type="#_x0000_t75" style="width:58.5pt;height:38.25pt" o:ole="">
            <v:imagedata r:id="rId17" o:title=""/>
          </v:shape>
          <o:OLEObject Type="Embed" ProgID="Excel.Sheet.8" ShapeID="_x0000_i1028" DrawAspect="Icon" ObjectID="_1721136996" r:id="rId18"/>
        </w:object>
      </w:r>
    </w:p>
    <w:p w14:paraId="3E9EF8F5" w14:textId="77777777" w:rsidR="00F87CD2" w:rsidRPr="00F87CD2" w:rsidRDefault="00F87CD2" w:rsidP="00F87CD2">
      <w:pPr>
        <w:pStyle w:val="Prrafodelista"/>
        <w:numPr>
          <w:ilvl w:val="0"/>
          <w:numId w:val="20"/>
        </w:numPr>
        <w:spacing w:after="160" w:line="256" w:lineRule="auto"/>
        <w:ind w:left="567" w:hanging="567"/>
        <w:jc w:val="both"/>
        <w:rPr>
          <w:rFonts w:ascii="Arial" w:eastAsia="Calibri" w:hAnsi="Arial" w:cs="Arial"/>
          <w:b/>
          <w:szCs w:val="22"/>
          <w:lang w:eastAsia="en-US"/>
        </w:rPr>
      </w:pPr>
      <w:r w:rsidRPr="00F87CD2">
        <w:rPr>
          <w:rFonts w:ascii="Arial" w:eastAsia="Calibri" w:hAnsi="Arial" w:cs="Arial"/>
          <w:szCs w:val="22"/>
        </w:rPr>
        <w:lastRenderedPageBreak/>
        <w:t xml:space="preserve">Se modifica el </w:t>
      </w:r>
      <w:r w:rsidRPr="00F87CD2">
        <w:rPr>
          <w:rFonts w:ascii="Arial" w:eastAsia="Calibri" w:hAnsi="Arial" w:cs="Arial"/>
          <w:b/>
          <w:bCs/>
          <w:szCs w:val="22"/>
        </w:rPr>
        <w:t>Anexo 3 Colocaciones</w:t>
      </w:r>
      <w:r w:rsidRPr="00F87CD2">
        <w:rPr>
          <w:rFonts w:ascii="Arial" w:eastAsia="Calibri" w:hAnsi="Arial" w:cs="Arial"/>
          <w:szCs w:val="22"/>
        </w:rPr>
        <w:t>, específicamente el Anexo 3.a.2 Instructivo para el “Reporte de movimientos de deuda estandarizada”</w:t>
      </w:r>
    </w:p>
    <w:tbl>
      <w:tblPr>
        <w:tblStyle w:val="Tablaconcuadrcula2"/>
        <w:tblW w:w="10065" w:type="dxa"/>
        <w:tblInd w:w="-572" w:type="dxa"/>
        <w:tblLook w:val="04A0" w:firstRow="1" w:lastRow="0" w:firstColumn="1" w:lastColumn="0" w:noHBand="0" w:noVBand="1"/>
      </w:tblPr>
      <w:tblGrid>
        <w:gridCol w:w="1869"/>
        <w:gridCol w:w="3943"/>
        <w:gridCol w:w="4253"/>
      </w:tblGrid>
      <w:tr w:rsidR="00F87CD2" w:rsidRPr="00F87CD2" w14:paraId="43F65898" w14:textId="77777777" w:rsidTr="00F87CD2">
        <w:trPr>
          <w:trHeight w:val="221"/>
          <w:tblHeader/>
        </w:trPr>
        <w:tc>
          <w:tcPr>
            <w:tcW w:w="1869" w:type="dxa"/>
            <w:tcBorders>
              <w:top w:val="single" w:sz="4" w:space="0" w:color="auto"/>
              <w:left w:val="single" w:sz="4" w:space="0" w:color="auto"/>
              <w:bottom w:val="single" w:sz="4" w:space="0" w:color="auto"/>
              <w:right w:val="single" w:sz="4" w:space="0" w:color="auto"/>
            </w:tcBorders>
          </w:tcPr>
          <w:p w14:paraId="73C1AF22" w14:textId="77777777" w:rsidR="00F87CD2" w:rsidRPr="00F87CD2" w:rsidRDefault="00F87CD2">
            <w:pPr>
              <w:rPr>
                <w:rFonts w:ascii="Arial" w:eastAsia="Calibri" w:hAnsi="Arial" w:cs="Arial"/>
                <w:b/>
                <w:bCs/>
                <w:szCs w:val="22"/>
                <w:lang w:val="es-CR"/>
              </w:rPr>
            </w:pPr>
          </w:p>
        </w:tc>
        <w:tc>
          <w:tcPr>
            <w:tcW w:w="3943" w:type="dxa"/>
            <w:tcBorders>
              <w:top w:val="single" w:sz="4" w:space="0" w:color="auto"/>
              <w:left w:val="single" w:sz="4" w:space="0" w:color="auto"/>
              <w:bottom w:val="single" w:sz="4" w:space="0" w:color="auto"/>
              <w:right w:val="single" w:sz="4" w:space="0" w:color="auto"/>
            </w:tcBorders>
            <w:hideMark/>
          </w:tcPr>
          <w:p w14:paraId="6868AD46" w14:textId="77777777" w:rsidR="00F87CD2" w:rsidRPr="00F87CD2" w:rsidRDefault="00F87CD2">
            <w:pPr>
              <w:jc w:val="center"/>
              <w:rPr>
                <w:rFonts w:ascii="Arial" w:eastAsia="Calibri" w:hAnsi="Arial" w:cs="Arial"/>
                <w:b/>
                <w:bCs/>
                <w:szCs w:val="22"/>
                <w:lang w:val="es-CR"/>
              </w:rPr>
            </w:pPr>
            <w:r w:rsidRPr="00F87CD2">
              <w:rPr>
                <w:rFonts w:ascii="Arial" w:eastAsia="Calibri" w:hAnsi="Arial" w:cs="Arial"/>
                <w:b/>
                <w:bCs/>
                <w:szCs w:val="22"/>
                <w:lang w:val="es-CR"/>
              </w:rPr>
              <w:t>Vigente</w:t>
            </w:r>
          </w:p>
        </w:tc>
        <w:tc>
          <w:tcPr>
            <w:tcW w:w="4253" w:type="dxa"/>
            <w:tcBorders>
              <w:top w:val="single" w:sz="4" w:space="0" w:color="auto"/>
              <w:left w:val="single" w:sz="4" w:space="0" w:color="auto"/>
              <w:bottom w:val="single" w:sz="4" w:space="0" w:color="auto"/>
              <w:right w:val="single" w:sz="4" w:space="0" w:color="auto"/>
            </w:tcBorders>
            <w:hideMark/>
          </w:tcPr>
          <w:p w14:paraId="12CC5570" w14:textId="77777777" w:rsidR="00F87CD2" w:rsidRPr="00F87CD2" w:rsidRDefault="00F87CD2">
            <w:pPr>
              <w:jc w:val="center"/>
              <w:rPr>
                <w:rFonts w:ascii="Arial" w:eastAsia="Calibri" w:hAnsi="Arial" w:cs="Arial"/>
                <w:b/>
                <w:bCs/>
                <w:szCs w:val="22"/>
                <w:lang w:val="es-CR"/>
              </w:rPr>
            </w:pPr>
            <w:r w:rsidRPr="00F87CD2">
              <w:rPr>
                <w:rFonts w:ascii="Arial" w:eastAsia="Calibri" w:hAnsi="Arial" w:cs="Arial"/>
                <w:b/>
                <w:bCs/>
                <w:szCs w:val="22"/>
                <w:lang w:val="es-CR"/>
              </w:rPr>
              <w:t>Propuesto</w:t>
            </w:r>
          </w:p>
        </w:tc>
      </w:tr>
      <w:tr w:rsidR="00F87CD2" w:rsidRPr="00F87CD2" w14:paraId="51DEF27A" w14:textId="77777777" w:rsidTr="00F87CD2">
        <w:trPr>
          <w:trHeight w:val="283"/>
        </w:trPr>
        <w:tc>
          <w:tcPr>
            <w:tcW w:w="1869" w:type="dxa"/>
            <w:tcBorders>
              <w:top w:val="single" w:sz="4" w:space="0" w:color="auto"/>
              <w:left w:val="single" w:sz="4" w:space="0" w:color="auto"/>
              <w:bottom w:val="single" w:sz="4" w:space="0" w:color="auto"/>
              <w:right w:val="single" w:sz="4" w:space="0" w:color="auto"/>
            </w:tcBorders>
            <w:hideMark/>
          </w:tcPr>
          <w:p w14:paraId="5CB18DD1"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w:t>
            </w:r>
          </w:p>
        </w:tc>
        <w:tc>
          <w:tcPr>
            <w:tcW w:w="3943" w:type="dxa"/>
            <w:tcBorders>
              <w:top w:val="single" w:sz="4" w:space="0" w:color="auto"/>
              <w:left w:val="single" w:sz="4" w:space="0" w:color="auto"/>
              <w:bottom w:val="single" w:sz="4" w:space="0" w:color="auto"/>
              <w:right w:val="single" w:sz="4" w:space="0" w:color="auto"/>
            </w:tcBorders>
            <w:hideMark/>
          </w:tcPr>
          <w:p w14:paraId="229A7986"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w:t>
            </w:r>
          </w:p>
        </w:tc>
        <w:tc>
          <w:tcPr>
            <w:tcW w:w="4253" w:type="dxa"/>
            <w:tcBorders>
              <w:top w:val="single" w:sz="4" w:space="0" w:color="auto"/>
              <w:left w:val="single" w:sz="4" w:space="0" w:color="auto"/>
              <w:bottom w:val="single" w:sz="4" w:space="0" w:color="auto"/>
              <w:right w:val="single" w:sz="4" w:space="0" w:color="auto"/>
            </w:tcBorders>
            <w:hideMark/>
          </w:tcPr>
          <w:p w14:paraId="1B34C10E" w14:textId="77777777" w:rsidR="00F87CD2" w:rsidRPr="00F87CD2" w:rsidRDefault="00F87CD2">
            <w:pPr>
              <w:rPr>
                <w:rFonts w:ascii="Arial" w:eastAsia="Calibri" w:hAnsi="Arial" w:cs="Arial"/>
                <w:szCs w:val="22"/>
                <w:lang w:val="es-CR"/>
              </w:rPr>
            </w:pPr>
            <w:r w:rsidRPr="00F87CD2">
              <w:rPr>
                <w:rFonts w:ascii="Arial" w:eastAsia="Calibri" w:hAnsi="Arial" w:cs="Arial"/>
                <w:szCs w:val="22"/>
                <w:lang w:val="es-CR"/>
              </w:rPr>
              <w:t>(…)</w:t>
            </w:r>
          </w:p>
        </w:tc>
      </w:tr>
      <w:tr w:rsidR="00F87CD2" w:rsidRPr="00F87CD2" w14:paraId="16D229B1" w14:textId="77777777" w:rsidTr="00F87CD2">
        <w:trPr>
          <w:trHeight w:val="454"/>
        </w:trPr>
        <w:tc>
          <w:tcPr>
            <w:tcW w:w="1869" w:type="dxa"/>
            <w:tcBorders>
              <w:top w:val="single" w:sz="4" w:space="0" w:color="auto"/>
              <w:left w:val="single" w:sz="4" w:space="0" w:color="auto"/>
              <w:bottom w:val="single" w:sz="4" w:space="0" w:color="auto"/>
              <w:right w:val="single" w:sz="4" w:space="0" w:color="auto"/>
            </w:tcBorders>
            <w:hideMark/>
          </w:tcPr>
          <w:p w14:paraId="71091B98" w14:textId="77777777" w:rsidR="00F87CD2" w:rsidRPr="00F87CD2" w:rsidRDefault="00F87CD2">
            <w:pPr>
              <w:jc w:val="both"/>
              <w:rPr>
                <w:rFonts w:ascii="Arial" w:eastAsia="Calibri" w:hAnsi="Arial" w:cs="Arial"/>
                <w:b/>
                <w:bCs/>
                <w:szCs w:val="22"/>
                <w:lang w:val="es-CR"/>
              </w:rPr>
            </w:pPr>
            <w:r w:rsidRPr="00F87CD2">
              <w:rPr>
                <w:rFonts w:ascii="Arial" w:eastAsia="Calibri" w:hAnsi="Arial" w:cs="Arial"/>
                <w:b/>
                <w:bCs/>
                <w:szCs w:val="22"/>
                <w:lang w:val="es-CR"/>
              </w:rPr>
              <w:t>Cuando aplica el envío de la información, mecanismo y plazo:</w:t>
            </w:r>
          </w:p>
        </w:tc>
        <w:tc>
          <w:tcPr>
            <w:tcW w:w="3943" w:type="dxa"/>
            <w:tcBorders>
              <w:top w:val="single" w:sz="4" w:space="0" w:color="auto"/>
              <w:left w:val="single" w:sz="4" w:space="0" w:color="auto"/>
              <w:bottom w:val="single" w:sz="4" w:space="0" w:color="auto"/>
              <w:right w:val="single" w:sz="4" w:space="0" w:color="auto"/>
            </w:tcBorders>
          </w:tcPr>
          <w:p w14:paraId="057477EE"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 xml:space="preserve">El acuerdo SGV-A-75 “Acuerdo sobre el Suministro de Información Periódica”, establece que este reporte deberá ser remitido a la </w:t>
            </w:r>
            <w:proofErr w:type="spellStart"/>
            <w:r w:rsidRPr="00F87CD2">
              <w:rPr>
                <w:rFonts w:ascii="Arial" w:eastAsia="Calibri" w:hAnsi="Arial" w:cs="Arial"/>
                <w:szCs w:val="22"/>
                <w:lang w:val="es-CR"/>
              </w:rPr>
              <w:t>Sugeval</w:t>
            </w:r>
            <w:proofErr w:type="spellEnd"/>
            <w:r w:rsidRPr="00F87CD2">
              <w:rPr>
                <w:rFonts w:ascii="Arial" w:eastAsia="Calibri" w:hAnsi="Arial" w:cs="Arial"/>
                <w:szCs w:val="22"/>
                <w:lang w:val="es-CR"/>
              </w:rPr>
              <w:t xml:space="preserve"> por medio del Sistema </w:t>
            </w:r>
            <w:proofErr w:type="spellStart"/>
            <w:r w:rsidRPr="00F87CD2">
              <w:rPr>
                <w:rFonts w:ascii="Arial" w:eastAsia="Calibri" w:hAnsi="Arial" w:cs="Arial"/>
                <w:szCs w:val="22"/>
                <w:lang w:val="es-CR"/>
              </w:rPr>
              <w:t>Ingresador</w:t>
            </w:r>
            <w:proofErr w:type="spellEnd"/>
            <w:r w:rsidRPr="00F87CD2">
              <w:rPr>
                <w:rFonts w:ascii="Arial" w:eastAsia="Calibri" w:hAnsi="Arial" w:cs="Arial"/>
                <w:szCs w:val="22"/>
                <w:lang w:val="es-CR"/>
              </w:rPr>
              <w:t xml:space="preserve"> de Información Periódica a más tardar </w:t>
            </w:r>
            <w:r w:rsidRPr="00F87CD2">
              <w:rPr>
                <w:rFonts w:ascii="Arial" w:eastAsia="Calibri" w:hAnsi="Arial" w:cs="Arial"/>
                <w:b/>
                <w:bCs/>
                <w:i/>
                <w:iCs/>
                <w:szCs w:val="22"/>
                <w:lang w:val="es-CR"/>
              </w:rPr>
              <w:t xml:space="preserve">el día hábil siguiente a la fecha en que ocurre el movimiento a reportar. </w:t>
            </w:r>
            <w:r w:rsidRPr="00F87CD2">
              <w:rPr>
                <w:rFonts w:ascii="Arial" w:eastAsia="Calibri" w:hAnsi="Arial" w:cs="Arial"/>
                <w:szCs w:val="22"/>
                <w:lang w:val="es-CR"/>
              </w:rPr>
              <w:t>Los movimientos por reportar son los siguiente:</w:t>
            </w:r>
          </w:p>
          <w:p w14:paraId="6029938A" w14:textId="77777777" w:rsidR="00F87CD2" w:rsidRPr="00F87CD2" w:rsidRDefault="00F87CD2">
            <w:pPr>
              <w:jc w:val="both"/>
              <w:rPr>
                <w:rFonts w:ascii="Arial" w:eastAsia="Calibri" w:hAnsi="Arial" w:cs="Arial"/>
                <w:szCs w:val="22"/>
                <w:lang w:val="es-CR"/>
              </w:rPr>
            </w:pPr>
          </w:p>
        </w:tc>
        <w:tc>
          <w:tcPr>
            <w:tcW w:w="4253" w:type="dxa"/>
            <w:tcBorders>
              <w:top w:val="single" w:sz="4" w:space="0" w:color="auto"/>
              <w:left w:val="single" w:sz="4" w:space="0" w:color="auto"/>
              <w:bottom w:val="single" w:sz="4" w:space="0" w:color="auto"/>
              <w:right w:val="single" w:sz="4" w:space="0" w:color="auto"/>
            </w:tcBorders>
          </w:tcPr>
          <w:p w14:paraId="360E0A2C"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 xml:space="preserve">El acuerdo SGV-A-75 “Acuerdo sobre el Suministro de Información Periódica”, establece que este reporte debe ser remitido a la </w:t>
            </w:r>
            <w:proofErr w:type="spellStart"/>
            <w:r w:rsidRPr="00F87CD2">
              <w:rPr>
                <w:rFonts w:ascii="Arial" w:eastAsia="Calibri" w:hAnsi="Arial" w:cs="Arial"/>
                <w:szCs w:val="22"/>
                <w:lang w:val="es-CR"/>
              </w:rPr>
              <w:t>Sugeval</w:t>
            </w:r>
            <w:proofErr w:type="spellEnd"/>
            <w:r w:rsidRPr="00F87CD2">
              <w:rPr>
                <w:rFonts w:ascii="Arial" w:eastAsia="Calibri" w:hAnsi="Arial" w:cs="Arial"/>
                <w:szCs w:val="22"/>
                <w:lang w:val="es-CR"/>
              </w:rPr>
              <w:t xml:space="preserve"> por medio del Sistema </w:t>
            </w:r>
            <w:proofErr w:type="spellStart"/>
            <w:r w:rsidRPr="00F87CD2">
              <w:rPr>
                <w:rFonts w:ascii="Arial" w:eastAsia="Calibri" w:hAnsi="Arial" w:cs="Arial"/>
                <w:szCs w:val="22"/>
                <w:lang w:val="es-CR"/>
              </w:rPr>
              <w:t>Ingresador</w:t>
            </w:r>
            <w:proofErr w:type="spellEnd"/>
            <w:r w:rsidRPr="00F87CD2">
              <w:rPr>
                <w:rFonts w:ascii="Arial" w:eastAsia="Calibri" w:hAnsi="Arial" w:cs="Arial"/>
                <w:szCs w:val="22"/>
                <w:lang w:val="es-CR"/>
              </w:rPr>
              <w:t xml:space="preserve"> de Información Periódica a más tardar </w:t>
            </w:r>
            <w:r w:rsidRPr="00F87CD2">
              <w:rPr>
                <w:rFonts w:ascii="Arial" w:eastAsia="Calibri" w:hAnsi="Arial" w:cs="Arial"/>
                <w:b/>
                <w:bCs/>
                <w:i/>
                <w:iCs/>
                <w:szCs w:val="22"/>
                <w:lang w:val="es-CR"/>
              </w:rPr>
              <w:t xml:space="preserve">el día hábil siguiente a la fecha en que ocurre el movimiento a reportar. </w:t>
            </w:r>
            <w:r w:rsidRPr="00F87CD2">
              <w:rPr>
                <w:rFonts w:ascii="Arial" w:eastAsia="Calibri" w:hAnsi="Arial" w:cs="Arial"/>
                <w:szCs w:val="22"/>
                <w:lang w:val="es-CR"/>
              </w:rPr>
              <w:t>Los movimientos por reportar son los siguiente:</w:t>
            </w:r>
          </w:p>
          <w:p w14:paraId="53A9092F" w14:textId="77777777" w:rsidR="00F87CD2" w:rsidRPr="00F87CD2" w:rsidRDefault="00F87CD2">
            <w:pPr>
              <w:rPr>
                <w:rFonts w:ascii="Arial" w:eastAsia="Calibri" w:hAnsi="Arial" w:cs="Arial"/>
                <w:szCs w:val="22"/>
                <w:lang w:val="es-CR"/>
              </w:rPr>
            </w:pPr>
          </w:p>
        </w:tc>
      </w:tr>
      <w:tr w:rsidR="00F87CD2" w:rsidRPr="00F87CD2" w14:paraId="55A170C8" w14:textId="77777777" w:rsidTr="00F87CD2">
        <w:trPr>
          <w:trHeight w:val="113"/>
        </w:trPr>
        <w:tc>
          <w:tcPr>
            <w:tcW w:w="1869" w:type="dxa"/>
            <w:tcBorders>
              <w:top w:val="single" w:sz="4" w:space="0" w:color="auto"/>
              <w:left w:val="single" w:sz="4" w:space="0" w:color="auto"/>
              <w:bottom w:val="single" w:sz="4" w:space="0" w:color="auto"/>
              <w:right w:val="single" w:sz="4" w:space="0" w:color="auto"/>
            </w:tcBorders>
          </w:tcPr>
          <w:p w14:paraId="17962812" w14:textId="77777777" w:rsidR="00F87CD2" w:rsidRPr="00F87CD2" w:rsidRDefault="00F87CD2">
            <w:pPr>
              <w:ind w:left="720"/>
              <w:jc w:val="both"/>
              <w:rPr>
                <w:rFonts w:ascii="Arial" w:eastAsia="Calibri" w:hAnsi="Arial" w:cs="Arial"/>
                <w:szCs w:val="22"/>
                <w:lang w:val="es-CR"/>
              </w:rPr>
            </w:pPr>
          </w:p>
        </w:tc>
        <w:tc>
          <w:tcPr>
            <w:tcW w:w="3943" w:type="dxa"/>
            <w:tcBorders>
              <w:top w:val="single" w:sz="4" w:space="0" w:color="auto"/>
              <w:left w:val="single" w:sz="4" w:space="0" w:color="auto"/>
              <w:bottom w:val="single" w:sz="4" w:space="0" w:color="auto"/>
              <w:right w:val="single" w:sz="4" w:space="0" w:color="auto"/>
            </w:tcBorders>
            <w:hideMark/>
          </w:tcPr>
          <w:p w14:paraId="768BF9ED" w14:textId="77777777" w:rsidR="00F87CD2" w:rsidRPr="00F87CD2" w:rsidRDefault="00F87CD2" w:rsidP="00F87CD2">
            <w:pPr>
              <w:numPr>
                <w:ilvl w:val="0"/>
                <w:numId w:val="22"/>
              </w:numPr>
              <w:jc w:val="both"/>
              <w:rPr>
                <w:rFonts w:ascii="Arial" w:eastAsia="Calibri" w:hAnsi="Arial" w:cs="Arial"/>
                <w:b/>
                <w:bCs/>
                <w:szCs w:val="22"/>
                <w:lang w:val="es-CR"/>
              </w:rPr>
            </w:pPr>
            <w:r w:rsidRPr="00F87CD2">
              <w:rPr>
                <w:rFonts w:ascii="Arial" w:eastAsia="Calibri" w:hAnsi="Arial" w:cs="Arial"/>
                <w:szCs w:val="22"/>
                <w:lang w:val="es-CR"/>
              </w:rPr>
              <w:t xml:space="preserve">El resultado de las colocaciones, </w:t>
            </w:r>
            <w:proofErr w:type="gramStart"/>
            <w:r w:rsidRPr="00F87CD2">
              <w:rPr>
                <w:rFonts w:ascii="Arial" w:eastAsia="Calibri" w:hAnsi="Arial" w:cs="Arial"/>
                <w:szCs w:val="22"/>
                <w:lang w:val="es-CR"/>
              </w:rPr>
              <w:t>ventanillas inversas y subastas inversas</w:t>
            </w:r>
            <w:proofErr w:type="gramEnd"/>
            <w:r w:rsidRPr="00F87CD2">
              <w:rPr>
                <w:rFonts w:ascii="Arial" w:eastAsia="Calibri" w:hAnsi="Arial" w:cs="Arial"/>
                <w:szCs w:val="22"/>
                <w:lang w:val="es-CR"/>
              </w:rPr>
              <w:t xml:space="preserve">, de mercado primario </w:t>
            </w:r>
            <w:r w:rsidRPr="00F87CD2">
              <w:rPr>
                <w:rFonts w:ascii="Arial" w:eastAsia="Calibri" w:hAnsi="Arial" w:cs="Arial"/>
                <w:b/>
                <w:bCs/>
                <w:i/>
                <w:iCs/>
                <w:szCs w:val="22"/>
                <w:lang w:val="es-CR"/>
              </w:rPr>
              <w:t>cuando el emisor realice directamente la transacción, es decir, que no utilice los sistemas de una bolsa de Valores autorizada en el Registro Nacional de Valores de Costa Rica. Inclusive en los casos en que no se hayan colocado valores, si se recibieron ofertas de compra, deberán enviarse la información sobre dichas ofertas conforme de requerido en el catálogo.</w:t>
            </w:r>
          </w:p>
        </w:tc>
        <w:tc>
          <w:tcPr>
            <w:tcW w:w="4253" w:type="dxa"/>
            <w:tcBorders>
              <w:top w:val="single" w:sz="4" w:space="0" w:color="auto"/>
              <w:left w:val="single" w:sz="4" w:space="0" w:color="auto"/>
              <w:bottom w:val="single" w:sz="4" w:space="0" w:color="auto"/>
              <w:right w:val="single" w:sz="4" w:space="0" w:color="auto"/>
            </w:tcBorders>
          </w:tcPr>
          <w:p w14:paraId="72FFEC8F" w14:textId="77777777" w:rsidR="00F87CD2" w:rsidRPr="00F87CD2" w:rsidRDefault="00F87CD2" w:rsidP="00F87CD2">
            <w:pPr>
              <w:numPr>
                <w:ilvl w:val="0"/>
                <w:numId w:val="24"/>
              </w:numPr>
              <w:jc w:val="both"/>
              <w:rPr>
                <w:rFonts w:ascii="Arial" w:eastAsia="Calibri" w:hAnsi="Arial" w:cs="Arial"/>
                <w:b/>
                <w:bCs/>
                <w:i/>
                <w:iCs/>
                <w:szCs w:val="22"/>
                <w:lang w:val="es-CR"/>
              </w:rPr>
            </w:pPr>
            <w:r w:rsidRPr="00F87CD2">
              <w:rPr>
                <w:rFonts w:ascii="Arial" w:eastAsia="Calibri" w:hAnsi="Arial" w:cs="Arial"/>
                <w:szCs w:val="22"/>
                <w:lang w:val="es-CR"/>
              </w:rPr>
              <w:t xml:space="preserve">El resultado de las colocaciones, </w:t>
            </w:r>
            <w:proofErr w:type="gramStart"/>
            <w:r w:rsidRPr="00F87CD2">
              <w:rPr>
                <w:rFonts w:ascii="Arial" w:eastAsia="Calibri" w:hAnsi="Arial" w:cs="Arial"/>
                <w:szCs w:val="22"/>
                <w:lang w:val="es-CR"/>
              </w:rPr>
              <w:t>ventanillas inversas y subastas inversas</w:t>
            </w:r>
            <w:proofErr w:type="gramEnd"/>
            <w:r w:rsidRPr="00F87CD2">
              <w:rPr>
                <w:rFonts w:ascii="Arial" w:eastAsia="Calibri" w:hAnsi="Arial" w:cs="Arial"/>
                <w:szCs w:val="22"/>
                <w:lang w:val="es-CR"/>
              </w:rPr>
              <w:t xml:space="preserve">, de mercado primario </w:t>
            </w:r>
            <w:r w:rsidRPr="00F87CD2">
              <w:rPr>
                <w:rFonts w:ascii="Arial" w:eastAsia="Calibri" w:hAnsi="Arial" w:cs="Arial"/>
                <w:b/>
                <w:bCs/>
                <w:i/>
                <w:iCs/>
                <w:szCs w:val="22"/>
                <w:lang w:val="es-CR"/>
              </w:rPr>
              <w:t>cuando el emisor realice directamente la transacción, es decir, que no utilice las siguientes plataformas de negociación:</w:t>
            </w:r>
          </w:p>
          <w:p w14:paraId="5F2326B4" w14:textId="77777777" w:rsidR="00F87CD2" w:rsidRPr="00F87CD2" w:rsidRDefault="00F87CD2" w:rsidP="00F87CD2">
            <w:pPr>
              <w:numPr>
                <w:ilvl w:val="0"/>
                <w:numId w:val="26"/>
              </w:numPr>
              <w:jc w:val="both"/>
              <w:rPr>
                <w:rFonts w:ascii="Arial" w:eastAsia="Calibri" w:hAnsi="Arial" w:cs="Arial"/>
                <w:b/>
                <w:bCs/>
                <w:i/>
                <w:iCs/>
                <w:szCs w:val="22"/>
                <w:lang w:val="es-CR"/>
              </w:rPr>
            </w:pPr>
            <w:r w:rsidRPr="00F87CD2">
              <w:rPr>
                <w:rFonts w:ascii="Arial" w:eastAsia="Calibri" w:hAnsi="Arial" w:cs="Arial"/>
                <w:b/>
                <w:bCs/>
                <w:i/>
                <w:iCs/>
                <w:szCs w:val="22"/>
                <w:lang w:val="es-CR"/>
              </w:rPr>
              <w:t>De una bolsa de Valores autorizada en el Registro Nacional de Valores de Costa Rica.</w:t>
            </w:r>
          </w:p>
          <w:p w14:paraId="6290B1DD" w14:textId="77777777" w:rsidR="00F87CD2" w:rsidRPr="00F87CD2" w:rsidRDefault="00F87CD2" w:rsidP="00F87CD2">
            <w:pPr>
              <w:numPr>
                <w:ilvl w:val="0"/>
                <w:numId w:val="26"/>
              </w:numPr>
              <w:jc w:val="both"/>
              <w:rPr>
                <w:rFonts w:ascii="Arial" w:eastAsia="Calibri" w:hAnsi="Arial" w:cs="Arial"/>
                <w:b/>
                <w:bCs/>
                <w:i/>
                <w:iCs/>
                <w:szCs w:val="22"/>
                <w:lang w:val="es-CR"/>
              </w:rPr>
            </w:pPr>
            <w:r w:rsidRPr="00F87CD2">
              <w:rPr>
                <w:rFonts w:ascii="Arial" w:eastAsia="Calibri" w:hAnsi="Arial" w:cs="Arial"/>
                <w:b/>
                <w:bCs/>
                <w:i/>
                <w:iCs/>
                <w:szCs w:val="22"/>
                <w:lang w:val="es-CR"/>
              </w:rPr>
              <w:t>Plataforma SINPE en los servicios de subasta de valores (SVA) y Ventanilla de Valores (VVA).</w:t>
            </w:r>
          </w:p>
          <w:p w14:paraId="64044965" w14:textId="77777777" w:rsidR="00F87CD2" w:rsidRPr="00F87CD2" w:rsidRDefault="00F87CD2">
            <w:pPr>
              <w:jc w:val="both"/>
              <w:rPr>
                <w:rFonts w:ascii="Arial" w:eastAsia="Calibri" w:hAnsi="Arial" w:cs="Arial"/>
                <w:b/>
                <w:bCs/>
                <w:i/>
                <w:iCs/>
                <w:szCs w:val="22"/>
                <w:lang w:val="es-CR"/>
              </w:rPr>
            </w:pPr>
          </w:p>
          <w:p w14:paraId="138086EE" w14:textId="77777777" w:rsidR="00F87CD2" w:rsidRPr="00F87CD2" w:rsidRDefault="00F87CD2">
            <w:pPr>
              <w:ind w:left="708"/>
              <w:jc w:val="both"/>
              <w:rPr>
                <w:rFonts w:ascii="Arial" w:eastAsia="Calibri" w:hAnsi="Arial" w:cs="Arial"/>
                <w:i/>
                <w:iCs/>
                <w:szCs w:val="22"/>
                <w:lang w:val="es-CR"/>
              </w:rPr>
            </w:pPr>
            <w:r w:rsidRPr="00F87CD2">
              <w:rPr>
                <w:rFonts w:ascii="Arial" w:eastAsia="Calibri" w:hAnsi="Arial" w:cs="Arial"/>
                <w:i/>
                <w:iCs/>
                <w:szCs w:val="22"/>
                <w:lang w:val="es-CR"/>
              </w:rPr>
              <w:t>Inclusive en los casos en que no se hayan colocado valores, si se recibieron ofertas de compra, deberán enviar la información sobre dichas ofertas conforme lo requerido en el catálogo.</w:t>
            </w:r>
          </w:p>
          <w:p w14:paraId="44C506C4" w14:textId="77777777" w:rsidR="00F87CD2" w:rsidRPr="00F87CD2" w:rsidRDefault="00F87CD2">
            <w:pPr>
              <w:ind w:left="708"/>
              <w:jc w:val="both"/>
              <w:rPr>
                <w:rFonts w:ascii="Arial" w:eastAsia="Calibri" w:hAnsi="Arial" w:cs="Arial"/>
                <w:i/>
                <w:iCs/>
                <w:szCs w:val="22"/>
                <w:lang w:val="es-CR"/>
              </w:rPr>
            </w:pPr>
          </w:p>
        </w:tc>
      </w:tr>
      <w:tr w:rsidR="00F87CD2" w:rsidRPr="00F87CD2" w14:paraId="43DC6807" w14:textId="77777777" w:rsidTr="00F87CD2">
        <w:trPr>
          <w:trHeight w:val="1082"/>
        </w:trPr>
        <w:tc>
          <w:tcPr>
            <w:tcW w:w="1869" w:type="dxa"/>
            <w:tcBorders>
              <w:top w:val="single" w:sz="4" w:space="0" w:color="auto"/>
              <w:left w:val="single" w:sz="4" w:space="0" w:color="auto"/>
              <w:bottom w:val="single" w:sz="4" w:space="0" w:color="auto"/>
              <w:right w:val="single" w:sz="4" w:space="0" w:color="auto"/>
            </w:tcBorders>
          </w:tcPr>
          <w:p w14:paraId="2D7091DB" w14:textId="77777777" w:rsidR="00F87CD2" w:rsidRPr="00F87CD2" w:rsidRDefault="00F87CD2">
            <w:pPr>
              <w:ind w:left="720"/>
              <w:jc w:val="both"/>
              <w:rPr>
                <w:rFonts w:ascii="Arial" w:eastAsia="Calibri" w:hAnsi="Arial" w:cs="Arial"/>
                <w:szCs w:val="22"/>
                <w:lang w:val="es-CR"/>
              </w:rPr>
            </w:pPr>
          </w:p>
        </w:tc>
        <w:tc>
          <w:tcPr>
            <w:tcW w:w="3943" w:type="dxa"/>
            <w:tcBorders>
              <w:top w:val="single" w:sz="4" w:space="0" w:color="auto"/>
              <w:left w:val="single" w:sz="4" w:space="0" w:color="auto"/>
              <w:bottom w:val="single" w:sz="4" w:space="0" w:color="auto"/>
              <w:right w:val="single" w:sz="4" w:space="0" w:color="auto"/>
            </w:tcBorders>
          </w:tcPr>
          <w:p w14:paraId="5298594C" w14:textId="77777777" w:rsidR="00F87CD2" w:rsidRPr="00F87CD2" w:rsidRDefault="00F87CD2" w:rsidP="00F87CD2">
            <w:pPr>
              <w:numPr>
                <w:ilvl w:val="0"/>
                <w:numId w:val="24"/>
              </w:numPr>
              <w:jc w:val="both"/>
              <w:rPr>
                <w:rFonts w:ascii="Arial" w:eastAsia="Calibri" w:hAnsi="Arial" w:cs="Arial"/>
                <w:szCs w:val="22"/>
                <w:lang w:val="es-CR"/>
              </w:rPr>
            </w:pPr>
            <w:r w:rsidRPr="00F87CD2">
              <w:rPr>
                <w:rFonts w:ascii="Arial" w:eastAsia="Calibri" w:hAnsi="Arial" w:cs="Arial"/>
                <w:szCs w:val="22"/>
                <w:lang w:val="es-CR"/>
              </w:rPr>
              <w:t xml:space="preserve">Para las colocaciones que se realcen mediante contratos de suscripción en firme se deberán reportar la totalidad de la colocación </w:t>
            </w:r>
            <w:r w:rsidRPr="00F87CD2">
              <w:rPr>
                <w:rFonts w:ascii="Arial" w:eastAsia="Calibri" w:hAnsi="Arial" w:cs="Arial"/>
                <w:b/>
                <w:bCs/>
                <w:szCs w:val="22"/>
                <w:lang w:val="es-CR"/>
              </w:rPr>
              <w:t>independientemente de que el emisor realice directamente la transacción o que utilice los sistemas de una bolsa de valores.</w:t>
            </w:r>
          </w:p>
          <w:p w14:paraId="39A6912D" w14:textId="77777777" w:rsidR="00F87CD2" w:rsidRPr="00F87CD2" w:rsidRDefault="00F87CD2">
            <w:pPr>
              <w:jc w:val="both"/>
              <w:rPr>
                <w:rFonts w:ascii="Arial" w:eastAsia="Calibri" w:hAnsi="Arial" w:cs="Arial"/>
                <w:szCs w:val="22"/>
                <w:lang w:val="es-CR"/>
              </w:rPr>
            </w:pPr>
          </w:p>
        </w:tc>
        <w:tc>
          <w:tcPr>
            <w:tcW w:w="4253" w:type="dxa"/>
            <w:tcBorders>
              <w:top w:val="single" w:sz="4" w:space="0" w:color="auto"/>
              <w:left w:val="single" w:sz="4" w:space="0" w:color="auto"/>
              <w:bottom w:val="single" w:sz="4" w:space="0" w:color="auto"/>
              <w:right w:val="single" w:sz="4" w:space="0" w:color="auto"/>
            </w:tcBorders>
            <w:hideMark/>
          </w:tcPr>
          <w:p w14:paraId="461C39A6" w14:textId="77777777" w:rsidR="00F87CD2" w:rsidRPr="00F87CD2" w:rsidRDefault="00F87CD2" w:rsidP="00F87CD2">
            <w:pPr>
              <w:numPr>
                <w:ilvl w:val="0"/>
                <w:numId w:val="22"/>
              </w:numPr>
              <w:jc w:val="both"/>
              <w:rPr>
                <w:rFonts w:ascii="Arial" w:eastAsia="Calibri" w:hAnsi="Arial" w:cs="Arial"/>
                <w:szCs w:val="22"/>
                <w:lang w:val="es-CR"/>
              </w:rPr>
            </w:pPr>
            <w:r w:rsidRPr="00F87CD2">
              <w:rPr>
                <w:rFonts w:ascii="Arial" w:eastAsia="Calibri" w:hAnsi="Arial" w:cs="Arial"/>
                <w:szCs w:val="22"/>
                <w:lang w:val="es-CR"/>
              </w:rPr>
              <w:lastRenderedPageBreak/>
              <w:t xml:space="preserve">Para las colocaciones que se realicen mediante contratos de suscripción en firme y mejor esfuerzo se debe reportar la totalidad de la colocación, </w:t>
            </w:r>
            <w:r w:rsidRPr="00F87CD2">
              <w:rPr>
                <w:rFonts w:ascii="Arial" w:eastAsia="Calibri" w:hAnsi="Arial" w:cs="Arial"/>
                <w:b/>
                <w:bCs/>
                <w:szCs w:val="22"/>
                <w:lang w:val="es-CR"/>
              </w:rPr>
              <w:t xml:space="preserve">independientemente de que el emisor realice directamente la transacción o que utilice alguna </w:t>
            </w:r>
            <w:r w:rsidRPr="00F87CD2">
              <w:rPr>
                <w:rFonts w:ascii="Arial" w:eastAsia="Calibri" w:hAnsi="Arial" w:cs="Arial"/>
                <w:b/>
                <w:bCs/>
                <w:i/>
                <w:iCs/>
                <w:szCs w:val="22"/>
                <w:lang w:val="es-CR"/>
              </w:rPr>
              <w:t xml:space="preserve">plataforma de negociación indicadas en el punto anterior. </w:t>
            </w:r>
          </w:p>
        </w:tc>
      </w:tr>
      <w:tr w:rsidR="00F87CD2" w:rsidRPr="00F87CD2" w14:paraId="7FCF0D43" w14:textId="77777777" w:rsidTr="00F87CD2">
        <w:trPr>
          <w:trHeight w:val="1625"/>
        </w:trPr>
        <w:tc>
          <w:tcPr>
            <w:tcW w:w="1869" w:type="dxa"/>
            <w:tcBorders>
              <w:top w:val="single" w:sz="4" w:space="0" w:color="auto"/>
              <w:left w:val="single" w:sz="4" w:space="0" w:color="auto"/>
              <w:bottom w:val="single" w:sz="4" w:space="0" w:color="auto"/>
              <w:right w:val="single" w:sz="4" w:space="0" w:color="auto"/>
            </w:tcBorders>
          </w:tcPr>
          <w:p w14:paraId="798F9C65" w14:textId="77777777" w:rsidR="00F87CD2" w:rsidRPr="00F87CD2" w:rsidRDefault="00F87CD2">
            <w:pPr>
              <w:ind w:left="720"/>
              <w:jc w:val="both"/>
              <w:rPr>
                <w:rFonts w:ascii="Arial" w:eastAsia="Calibri" w:hAnsi="Arial" w:cs="Arial"/>
                <w:szCs w:val="22"/>
                <w:lang w:val="es-CR"/>
              </w:rPr>
            </w:pPr>
          </w:p>
        </w:tc>
        <w:tc>
          <w:tcPr>
            <w:tcW w:w="3943" w:type="dxa"/>
            <w:tcBorders>
              <w:top w:val="single" w:sz="4" w:space="0" w:color="auto"/>
              <w:left w:val="single" w:sz="4" w:space="0" w:color="auto"/>
              <w:bottom w:val="single" w:sz="4" w:space="0" w:color="auto"/>
              <w:right w:val="single" w:sz="4" w:space="0" w:color="auto"/>
            </w:tcBorders>
            <w:hideMark/>
          </w:tcPr>
          <w:p w14:paraId="156FD651" w14:textId="77777777" w:rsidR="00F87CD2" w:rsidRPr="00F87CD2" w:rsidRDefault="00F87CD2" w:rsidP="00F87CD2">
            <w:pPr>
              <w:numPr>
                <w:ilvl w:val="0"/>
                <w:numId w:val="22"/>
              </w:numPr>
              <w:jc w:val="both"/>
              <w:rPr>
                <w:rFonts w:ascii="Arial" w:eastAsia="Calibri" w:hAnsi="Arial" w:cs="Arial"/>
                <w:szCs w:val="22"/>
                <w:lang w:val="es-CR"/>
              </w:rPr>
            </w:pPr>
            <w:r w:rsidRPr="00F87CD2">
              <w:rPr>
                <w:rFonts w:ascii="Arial" w:eastAsia="Calibri" w:hAnsi="Arial" w:cs="Arial"/>
                <w:szCs w:val="22"/>
                <w:lang w:val="es-CR"/>
              </w:rPr>
              <w:t>En el caso de los contratos de suscripción en garantía, se deberá reportar la colocación de la primera etapa de suscripción (ventanilla o subasta) únicamente cuando no se utilicen los sistemas de una Bolsa de Valore autorizada en el Registro Nacional de Valores de Costa Rica. Si no se coloca el 100% en la primera etapa, se deberá reportar la colocación remanente, la cual corresponderá a la suscripción.</w:t>
            </w:r>
          </w:p>
        </w:tc>
        <w:tc>
          <w:tcPr>
            <w:tcW w:w="4253" w:type="dxa"/>
            <w:tcBorders>
              <w:top w:val="single" w:sz="4" w:space="0" w:color="auto"/>
              <w:left w:val="single" w:sz="4" w:space="0" w:color="auto"/>
              <w:bottom w:val="single" w:sz="4" w:space="0" w:color="auto"/>
              <w:right w:val="single" w:sz="4" w:space="0" w:color="auto"/>
            </w:tcBorders>
          </w:tcPr>
          <w:p w14:paraId="7E7D8C35" w14:textId="77777777" w:rsidR="00F87CD2" w:rsidRPr="00F87CD2" w:rsidRDefault="00F87CD2" w:rsidP="00F87CD2">
            <w:pPr>
              <w:numPr>
                <w:ilvl w:val="0"/>
                <w:numId w:val="24"/>
              </w:numPr>
              <w:jc w:val="both"/>
              <w:rPr>
                <w:rFonts w:ascii="Arial" w:eastAsia="Calibri" w:hAnsi="Arial" w:cs="Arial"/>
                <w:strike/>
                <w:szCs w:val="22"/>
                <w:lang w:val="es-CR"/>
              </w:rPr>
            </w:pPr>
            <w:r w:rsidRPr="00F87CD2">
              <w:rPr>
                <w:rFonts w:ascii="Arial" w:eastAsia="Calibri" w:hAnsi="Arial" w:cs="Arial"/>
                <w:szCs w:val="22"/>
                <w:lang w:val="es-CR"/>
              </w:rPr>
              <w:t xml:space="preserve">En el caso de los contratos de suscripción en garantía, en donde la colocación no se haya efectuado a través de alguna de las plataformas de negociaciones indicadas, se debe reportar la colocación realizada en la primera etapa del proceso de suscripción (ventanilla o subasta). </w:t>
            </w:r>
          </w:p>
          <w:p w14:paraId="3178C298" w14:textId="77777777" w:rsidR="00F87CD2" w:rsidRPr="00F87CD2" w:rsidRDefault="00F87CD2">
            <w:pPr>
              <w:jc w:val="both"/>
              <w:rPr>
                <w:rFonts w:ascii="Arial" w:eastAsia="Calibri" w:hAnsi="Arial" w:cs="Arial"/>
                <w:szCs w:val="22"/>
                <w:lang w:val="es-CR"/>
              </w:rPr>
            </w:pPr>
          </w:p>
          <w:p w14:paraId="00CE0615" w14:textId="77777777" w:rsidR="00F87CD2" w:rsidRPr="00F87CD2" w:rsidRDefault="00F87CD2">
            <w:pPr>
              <w:ind w:left="708"/>
              <w:jc w:val="both"/>
              <w:rPr>
                <w:rFonts w:ascii="Arial" w:eastAsia="Calibri" w:hAnsi="Arial" w:cs="Arial"/>
                <w:szCs w:val="22"/>
                <w:lang w:val="es-CR"/>
              </w:rPr>
            </w:pPr>
            <w:r w:rsidRPr="00F87CD2">
              <w:rPr>
                <w:rFonts w:ascii="Arial" w:eastAsia="Calibri" w:hAnsi="Arial" w:cs="Arial"/>
                <w:szCs w:val="22"/>
                <w:lang w:val="es-CR"/>
              </w:rPr>
              <w:t xml:space="preserve"> Si no se coloca el 100% en la primera etapa del proceso se debe reportar la colocación remanente, la cual corresponde a la suscripción.</w:t>
            </w:r>
          </w:p>
          <w:p w14:paraId="7ACC0454" w14:textId="77777777" w:rsidR="00F87CD2" w:rsidRPr="00F87CD2" w:rsidRDefault="00F87CD2">
            <w:pPr>
              <w:jc w:val="both"/>
              <w:rPr>
                <w:rFonts w:ascii="Arial" w:eastAsia="Calibri" w:hAnsi="Arial" w:cs="Arial"/>
                <w:szCs w:val="22"/>
                <w:lang w:val="es-CR"/>
              </w:rPr>
            </w:pPr>
          </w:p>
        </w:tc>
      </w:tr>
      <w:tr w:rsidR="00F87CD2" w:rsidRPr="00F87CD2" w14:paraId="0783AAC9" w14:textId="77777777" w:rsidTr="00F87CD2">
        <w:trPr>
          <w:trHeight w:val="378"/>
        </w:trPr>
        <w:tc>
          <w:tcPr>
            <w:tcW w:w="1869" w:type="dxa"/>
            <w:tcBorders>
              <w:top w:val="single" w:sz="4" w:space="0" w:color="auto"/>
              <w:left w:val="single" w:sz="4" w:space="0" w:color="auto"/>
              <w:bottom w:val="single" w:sz="4" w:space="0" w:color="auto"/>
              <w:right w:val="single" w:sz="4" w:space="0" w:color="auto"/>
            </w:tcBorders>
            <w:hideMark/>
          </w:tcPr>
          <w:p w14:paraId="453CCDBB"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w:t>
            </w:r>
          </w:p>
        </w:tc>
        <w:tc>
          <w:tcPr>
            <w:tcW w:w="3943" w:type="dxa"/>
            <w:tcBorders>
              <w:top w:val="single" w:sz="4" w:space="0" w:color="auto"/>
              <w:left w:val="single" w:sz="4" w:space="0" w:color="auto"/>
              <w:bottom w:val="single" w:sz="4" w:space="0" w:color="auto"/>
              <w:right w:val="single" w:sz="4" w:space="0" w:color="auto"/>
            </w:tcBorders>
            <w:hideMark/>
          </w:tcPr>
          <w:p w14:paraId="48AD6BA8"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w:t>
            </w:r>
          </w:p>
        </w:tc>
        <w:tc>
          <w:tcPr>
            <w:tcW w:w="4253" w:type="dxa"/>
            <w:tcBorders>
              <w:top w:val="single" w:sz="4" w:space="0" w:color="auto"/>
              <w:left w:val="single" w:sz="4" w:space="0" w:color="auto"/>
              <w:bottom w:val="single" w:sz="4" w:space="0" w:color="auto"/>
              <w:right w:val="single" w:sz="4" w:space="0" w:color="auto"/>
            </w:tcBorders>
            <w:hideMark/>
          </w:tcPr>
          <w:p w14:paraId="4007D503"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w:t>
            </w:r>
          </w:p>
        </w:tc>
      </w:tr>
    </w:tbl>
    <w:p w14:paraId="613B9A90" w14:textId="77777777" w:rsidR="00F87CD2" w:rsidRPr="00F87CD2" w:rsidRDefault="00F87CD2" w:rsidP="00F87CD2">
      <w:pPr>
        <w:jc w:val="center"/>
        <w:rPr>
          <w:rFonts w:ascii="Arial" w:eastAsia="Calibri" w:hAnsi="Arial" w:cs="Arial"/>
          <w:b/>
          <w:szCs w:val="22"/>
          <w:lang w:eastAsia="en-US"/>
        </w:rPr>
      </w:pPr>
    </w:p>
    <w:p w14:paraId="46A57355" w14:textId="77777777" w:rsidR="00F87CD2" w:rsidRPr="00F87CD2" w:rsidRDefault="00F87CD2" w:rsidP="00F87CD2">
      <w:pPr>
        <w:jc w:val="center"/>
        <w:rPr>
          <w:rFonts w:ascii="Arial" w:eastAsia="Calibri" w:hAnsi="Arial" w:cs="Arial"/>
          <w:b/>
          <w:szCs w:val="22"/>
        </w:rPr>
      </w:pPr>
      <w:r w:rsidRPr="00F87CD2">
        <w:rPr>
          <w:rFonts w:ascii="Arial" w:eastAsia="Calibri" w:hAnsi="Arial" w:cs="Arial"/>
          <w:b/>
          <w:szCs w:val="22"/>
          <w:lang w:eastAsia="en-US"/>
        </w:rPr>
        <w:object w:dxaOrig="1215" w:dyaOrig="765" w14:anchorId="3648CFDA">
          <v:shape id="_x0000_i1029" type="#_x0000_t75" style="width:61.5pt;height:38.25pt" o:ole="">
            <v:imagedata r:id="rId19" o:title=""/>
          </v:shape>
          <o:OLEObject Type="Embed" ProgID="Excel.Sheet.12" ShapeID="_x0000_i1029" DrawAspect="Icon" ObjectID="_1721136997" r:id="rId20"/>
        </w:object>
      </w:r>
    </w:p>
    <w:p w14:paraId="544668BB" w14:textId="77777777" w:rsidR="00F87CD2" w:rsidRPr="00F87CD2" w:rsidRDefault="00F87CD2" w:rsidP="00F87CD2">
      <w:pPr>
        <w:pStyle w:val="Prrafodelista"/>
        <w:numPr>
          <w:ilvl w:val="0"/>
          <w:numId w:val="20"/>
        </w:numPr>
        <w:spacing w:after="160" w:line="256" w:lineRule="auto"/>
        <w:ind w:left="567" w:hanging="567"/>
        <w:jc w:val="both"/>
        <w:rPr>
          <w:rFonts w:ascii="Arial" w:eastAsia="Calibri" w:hAnsi="Arial" w:cs="Arial"/>
          <w:color w:val="000000"/>
          <w:szCs w:val="22"/>
          <w:lang w:eastAsia="es-CR"/>
        </w:rPr>
      </w:pPr>
      <w:r w:rsidRPr="00F87CD2">
        <w:rPr>
          <w:rFonts w:ascii="Arial" w:eastAsia="Calibri" w:hAnsi="Arial" w:cs="Arial"/>
          <w:color w:val="000000"/>
          <w:szCs w:val="22"/>
          <w:lang w:eastAsia="es-CR"/>
        </w:rPr>
        <w:t>Se modifica la validación del precio en los Reportes de Inversiones de Puestos de Bolsa (Anexo 10), Sociedades de Fondos de Inversión y Fondos de Inversión (Anexo 18); de la siguiente manera:</w:t>
      </w:r>
    </w:p>
    <w:tbl>
      <w:tblPr>
        <w:tblStyle w:val="Tablaconcuadrcula2"/>
        <w:tblW w:w="10065" w:type="dxa"/>
        <w:tblInd w:w="-572" w:type="dxa"/>
        <w:tblLook w:val="04A0" w:firstRow="1" w:lastRow="0" w:firstColumn="1" w:lastColumn="0" w:noHBand="0" w:noVBand="1"/>
      </w:tblPr>
      <w:tblGrid>
        <w:gridCol w:w="1869"/>
        <w:gridCol w:w="3943"/>
        <w:gridCol w:w="4253"/>
      </w:tblGrid>
      <w:tr w:rsidR="00F87CD2" w:rsidRPr="00F87CD2" w14:paraId="5ED78528" w14:textId="77777777" w:rsidTr="00F87CD2">
        <w:trPr>
          <w:trHeight w:val="221"/>
          <w:tblHeader/>
        </w:trPr>
        <w:tc>
          <w:tcPr>
            <w:tcW w:w="1869" w:type="dxa"/>
            <w:tcBorders>
              <w:top w:val="single" w:sz="4" w:space="0" w:color="auto"/>
              <w:left w:val="single" w:sz="4" w:space="0" w:color="auto"/>
              <w:bottom w:val="single" w:sz="4" w:space="0" w:color="auto"/>
              <w:right w:val="single" w:sz="4" w:space="0" w:color="auto"/>
            </w:tcBorders>
            <w:hideMark/>
          </w:tcPr>
          <w:p w14:paraId="2C2CBA82" w14:textId="77777777" w:rsidR="00F87CD2" w:rsidRPr="00F87CD2" w:rsidRDefault="00F87CD2">
            <w:pPr>
              <w:rPr>
                <w:rFonts w:ascii="Arial" w:eastAsia="Calibri" w:hAnsi="Arial" w:cs="Arial"/>
                <w:b/>
                <w:bCs/>
                <w:szCs w:val="22"/>
                <w:lang w:val="es-CR" w:eastAsia="en-US"/>
              </w:rPr>
            </w:pPr>
            <w:r w:rsidRPr="00F87CD2">
              <w:rPr>
                <w:rFonts w:ascii="Arial" w:eastAsia="Calibri" w:hAnsi="Arial" w:cs="Arial"/>
                <w:b/>
                <w:bCs/>
                <w:szCs w:val="22"/>
                <w:lang w:val="es-CR"/>
              </w:rPr>
              <w:t>Anexos 10 y 18</w:t>
            </w:r>
          </w:p>
        </w:tc>
        <w:tc>
          <w:tcPr>
            <w:tcW w:w="3943" w:type="dxa"/>
            <w:tcBorders>
              <w:top w:val="single" w:sz="4" w:space="0" w:color="auto"/>
              <w:left w:val="single" w:sz="4" w:space="0" w:color="auto"/>
              <w:bottom w:val="single" w:sz="4" w:space="0" w:color="auto"/>
              <w:right w:val="single" w:sz="4" w:space="0" w:color="auto"/>
            </w:tcBorders>
            <w:hideMark/>
          </w:tcPr>
          <w:p w14:paraId="4AFBC845" w14:textId="77777777" w:rsidR="00F87CD2" w:rsidRPr="00F87CD2" w:rsidRDefault="00F87CD2">
            <w:pPr>
              <w:jc w:val="center"/>
              <w:rPr>
                <w:rFonts w:ascii="Arial" w:eastAsia="Calibri" w:hAnsi="Arial" w:cs="Arial"/>
                <w:b/>
                <w:bCs/>
                <w:szCs w:val="22"/>
                <w:lang w:val="es-CR"/>
              </w:rPr>
            </w:pPr>
            <w:r w:rsidRPr="00F87CD2">
              <w:rPr>
                <w:rFonts w:ascii="Arial" w:eastAsia="Calibri" w:hAnsi="Arial" w:cs="Arial"/>
                <w:b/>
                <w:bCs/>
                <w:szCs w:val="22"/>
                <w:lang w:val="es-CR"/>
              </w:rPr>
              <w:t>Vigente</w:t>
            </w:r>
          </w:p>
        </w:tc>
        <w:tc>
          <w:tcPr>
            <w:tcW w:w="4253" w:type="dxa"/>
            <w:tcBorders>
              <w:top w:val="single" w:sz="4" w:space="0" w:color="auto"/>
              <w:left w:val="single" w:sz="4" w:space="0" w:color="auto"/>
              <w:bottom w:val="single" w:sz="4" w:space="0" w:color="auto"/>
              <w:right w:val="single" w:sz="4" w:space="0" w:color="auto"/>
            </w:tcBorders>
            <w:hideMark/>
          </w:tcPr>
          <w:p w14:paraId="383EDE00" w14:textId="77777777" w:rsidR="00F87CD2" w:rsidRPr="00F87CD2" w:rsidRDefault="00F87CD2">
            <w:pPr>
              <w:jc w:val="center"/>
              <w:rPr>
                <w:rFonts w:ascii="Arial" w:eastAsia="Calibri" w:hAnsi="Arial" w:cs="Arial"/>
                <w:b/>
                <w:bCs/>
                <w:szCs w:val="22"/>
                <w:lang w:val="es-CR"/>
              </w:rPr>
            </w:pPr>
            <w:r w:rsidRPr="00F87CD2">
              <w:rPr>
                <w:rFonts w:ascii="Arial" w:eastAsia="Calibri" w:hAnsi="Arial" w:cs="Arial"/>
                <w:b/>
                <w:bCs/>
                <w:szCs w:val="22"/>
                <w:lang w:val="es-CR"/>
              </w:rPr>
              <w:t>Propuesto</w:t>
            </w:r>
          </w:p>
        </w:tc>
      </w:tr>
      <w:tr w:rsidR="00F87CD2" w:rsidRPr="00F87CD2" w14:paraId="27AEE96D" w14:textId="77777777" w:rsidTr="00F87CD2">
        <w:trPr>
          <w:trHeight w:val="283"/>
        </w:trPr>
        <w:tc>
          <w:tcPr>
            <w:tcW w:w="1869" w:type="dxa"/>
            <w:tcBorders>
              <w:top w:val="single" w:sz="4" w:space="0" w:color="auto"/>
              <w:left w:val="single" w:sz="4" w:space="0" w:color="auto"/>
              <w:bottom w:val="single" w:sz="4" w:space="0" w:color="auto"/>
              <w:right w:val="single" w:sz="4" w:space="0" w:color="auto"/>
            </w:tcBorders>
            <w:hideMark/>
          </w:tcPr>
          <w:p w14:paraId="0D1C4399"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w:t>
            </w:r>
          </w:p>
        </w:tc>
        <w:tc>
          <w:tcPr>
            <w:tcW w:w="3943" w:type="dxa"/>
            <w:tcBorders>
              <w:top w:val="single" w:sz="4" w:space="0" w:color="auto"/>
              <w:left w:val="single" w:sz="4" w:space="0" w:color="auto"/>
              <w:bottom w:val="single" w:sz="4" w:space="0" w:color="auto"/>
              <w:right w:val="single" w:sz="4" w:space="0" w:color="auto"/>
            </w:tcBorders>
            <w:hideMark/>
          </w:tcPr>
          <w:p w14:paraId="105A05EC"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w:t>
            </w:r>
          </w:p>
        </w:tc>
        <w:tc>
          <w:tcPr>
            <w:tcW w:w="4253" w:type="dxa"/>
            <w:tcBorders>
              <w:top w:val="single" w:sz="4" w:space="0" w:color="auto"/>
              <w:left w:val="single" w:sz="4" w:space="0" w:color="auto"/>
              <w:bottom w:val="single" w:sz="4" w:space="0" w:color="auto"/>
              <w:right w:val="single" w:sz="4" w:space="0" w:color="auto"/>
            </w:tcBorders>
            <w:hideMark/>
          </w:tcPr>
          <w:p w14:paraId="68A1F132" w14:textId="77777777" w:rsidR="00F87CD2" w:rsidRPr="00F87CD2" w:rsidRDefault="00F87CD2">
            <w:pPr>
              <w:rPr>
                <w:rFonts w:ascii="Arial" w:eastAsia="Calibri" w:hAnsi="Arial" w:cs="Arial"/>
                <w:szCs w:val="22"/>
                <w:lang w:val="es-CR"/>
              </w:rPr>
            </w:pPr>
            <w:r w:rsidRPr="00F87CD2">
              <w:rPr>
                <w:rFonts w:ascii="Arial" w:eastAsia="Calibri" w:hAnsi="Arial" w:cs="Arial"/>
                <w:szCs w:val="22"/>
                <w:lang w:val="es-CR"/>
              </w:rPr>
              <w:t>(…)</w:t>
            </w:r>
          </w:p>
        </w:tc>
      </w:tr>
      <w:tr w:rsidR="00F87CD2" w:rsidRPr="00F87CD2" w14:paraId="7AEFDE36" w14:textId="77777777" w:rsidTr="00F87CD2">
        <w:trPr>
          <w:trHeight w:val="454"/>
        </w:trPr>
        <w:tc>
          <w:tcPr>
            <w:tcW w:w="1869" w:type="dxa"/>
            <w:tcBorders>
              <w:top w:val="single" w:sz="4" w:space="0" w:color="auto"/>
              <w:left w:val="single" w:sz="4" w:space="0" w:color="auto"/>
              <w:bottom w:val="single" w:sz="4" w:space="0" w:color="auto"/>
              <w:right w:val="single" w:sz="4" w:space="0" w:color="auto"/>
            </w:tcBorders>
            <w:hideMark/>
          </w:tcPr>
          <w:p w14:paraId="7C3DC167" w14:textId="77777777" w:rsidR="00F87CD2" w:rsidRPr="00F87CD2" w:rsidRDefault="00F87CD2">
            <w:pPr>
              <w:jc w:val="both"/>
              <w:rPr>
                <w:rFonts w:ascii="Arial" w:eastAsia="Calibri" w:hAnsi="Arial" w:cs="Arial"/>
                <w:b/>
                <w:bCs/>
                <w:szCs w:val="22"/>
                <w:lang w:val="es-CR"/>
              </w:rPr>
            </w:pPr>
            <w:r w:rsidRPr="00F87CD2">
              <w:rPr>
                <w:rFonts w:ascii="Arial" w:eastAsia="Calibri" w:hAnsi="Arial" w:cs="Arial"/>
                <w:b/>
                <w:bCs/>
                <w:szCs w:val="22"/>
                <w:lang w:val="es-CR"/>
              </w:rPr>
              <w:t xml:space="preserve">Precio de mercado </w:t>
            </w:r>
          </w:p>
        </w:tc>
        <w:tc>
          <w:tcPr>
            <w:tcW w:w="3943" w:type="dxa"/>
            <w:tcBorders>
              <w:top w:val="single" w:sz="4" w:space="0" w:color="auto"/>
              <w:left w:val="single" w:sz="4" w:space="0" w:color="auto"/>
              <w:bottom w:val="single" w:sz="4" w:space="0" w:color="auto"/>
              <w:right w:val="single" w:sz="4" w:space="0" w:color="auto"/>
            </w:tcBorders>
          </w:tcPr>
          <w:p w14:paraId="68317F35"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 xml:space="preserve">No podrá ser un valor negativo, cero o nulo, excepto cuando el Indicador de Recompras y Préstamo de valores sea igual a RV (Recompra </w:t>
            </w:r>
            <w:proofErr w:type="gramStart"/>
            <w:r w:rsidRPr="00F87CD2">
              <w:rPr>
                <w:rFonts w:ascii="Arial" w:eastAsia="Calibri" w:hAnsi="Arial" w:cs="Arial"/>
                <w:szCs w:val="22"/>
                <w:lang w:val="es-CR"/>
              </w:rPr>
              <w:t>posición vendedor</w:t>
            </w:r>
            <w:proofErr w:type="gramEnd"/>
            <w:r w:rsidRPr="00F87CD2">
              <w:rPr>
                <w:rFonts w:ascii="Arial" w:eastAsia="Calibri" w:hAnsi="Arial" w:cs="Arial"/>
                <w:szCs w:val="22"/>
                <w:lang w:val="es-CR"/>
              </w:rPr>
              <w:t xml:space="preserve"> a plazo), se deben indicar con un precio de 0.</w:t>
            </w:r>
          </w:p>
          <w:p w14:paraId="4DE9F895" w14:textId="77777777" w:rsidR="00F87CD2" w:rsidRPr="00F87CD2" w:rsidRDefault="00F87CD2">
            <w:pPr>
              <w:jc w:val="both"/>
              <w:rPr>
                <w:rFonts w:ascii="Arial" w:eastAsia="Calibri" w:hAnsi="Arial" w:cs="Arial"/>
                <w:szCs w:val="22"/>
                <w:lang w:val="es-CR"/>
              </w:rPr>
            </w:pPr>
          </w:p>
          <w:p w14:paraId="23F24E49"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Si el Modelo de Negocio es igual a “CA” este campo siempre debe incluir el precio de mercado para fines informativos.</w:t>
            </w:r>
          </w:p>
        </w:tc>
        <w:tc>
          <w:tcPr>
            <w:tcW w:w="4253" w:type="dxa"/>
            <w:tcBorders>
              <w:top w:val="single" w:sz="4" w:space="0" w:color="auto"/>
              <w:left w:val="single" w:sz="4" w:space="0" w:color="auto"/>
              <w:bottom w:val="single" w:sz="4" w:space="0" w:color="auto"/>
              <w:right w:val="single" w:sz="4" w:space="0" w:color="auto"/>
            </w:tcBorders>
          </w:tcPr>
          <w:p w14:paraId="21B21E6A"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 xml:space="preserve">No podrá ser un valor negativo o nulo, excepto cuando el Indicador de Recompras y Préstamo de valores sea igual a RV (Recompra </w:t>
            </w:r>
            <w:proofErr w:type="gramStart"/>
            <w:r w:rsidRPr="00F87CD2">
              <w:rPr>
                <w:rFonts w:ascii="Arial" w:eastAsia="Calibri" w:hAnsi="Arial" w:cs="Arial"/>
                <w:szCs w:val="22"/>
                <w:lang w:val="es-CR"/>
              </w:rPr>
              <w:t>posición vendedor</w:t>
            </w:r>
            <w:proofErr w:type="gramEnd"/>
            <w:r w:rsidRPr="00F87CD2">
              <w:rPr>
                <w:rFonts w:ascii="Arial" w:eastAsia="Calibri" w:hAnsi="Arial" w:cs="Arial"/>
                <w:szCs w:val="22"/>
                <w:lang w:val="es-CR"/>
              </w:rPr>
              <w:t xml:space="preserve"> a plazo), se deben indicar con un precio de 0.</w:t>
            </w:r>
          </w:p>
          <w:p w14:paraId="49457E75" w14:textId="77777777" w:rsidR="00F87CD2" w:rsidRPr="00F87CD2" w:rsidRDefault="00F87CD2">
            <w:pPr>
              <w:jc w:val="both"/>
              <w:rPr>
                <w:rFonts w:ascii="Arial" w:eastAsia="Calibri" w:hAnsi="Arial" w:cs="Arial"/>
                <w:szCs w:val="22"/>
                <w:lang w:val="es-CR"/>
              </w:rPr>
            </w:pPr>
          </w:p>
          <w:p w14:paraId="0A111FF4" w14:textId="77777777" w:rsidR="00F87CD2" w:rsidRPr="00F87CD2" w:rsidRDefault="00F87CD2">
            <w:pPr>
              <w:rPr>
                <w:rFonts w:ascii="Arial" w:eastAsia="Calibri" w:hAnsi="Arial" w:cs="Arial"/>
                <w:szCs w:val="22"/>
                <w:lang w:val="es-CR"/>
              </w:rPr>
            </w:pPr>
            <w:r w:rsidRPr="00F87CD2">
              <w:rPr>
                <w:rFonts w:ascii="Arial" w:eastAsia="Calibri" w:hAnsi="Arial" w:cs="Arial"/>
                <w:szCs w:val="22"/>
                <w:lang w:val="es-CR"/>
              </w:rPr>
              <w:t>Si el Modelo de Negocio es igual a “CA” este campo siempre debe incluir el precio de mercado para fines informativos.</w:t>
            </w:r>
          </w:p>
          <w:p w14:paraId="4E039820" w14:textId="77777777" w:rsidR="00F87CD2" w:rsidRPr="00F87CD2" w:rsidRDefault="00F87CD2">
            <w:pPr>
              <w:rPr>
                <w:rFonts w:ascii="Arial" w:eastAsia="Calibri" w:hAnsi="Arial" w:cs="Arial"/>
                <w:szCs w:val="22"/>
                <w:lang w:val="es-CR"/>
              </w:rPr>
            </w:pPr>
          </w:p>
        </w:tc>
      </w:tr>
    </w:tbl>
    <w:p w14:paraId="5F2CAE9C" w14:textId="77777777" w:rsidR="00F87CD2" w:rsidRPr="00F87CD2" w:rsidRDefault="00F87CD2" w:rsidP="00F87CD2">
      <w:pPr>
        <w:jc w:val="both"/>
        <w:rPr>
          <w:rFonts w:ascii="Arial" w:eastAsia="Calibri" w:hAnsi="Arial" w:cs="Arial"/>
          <w:color w:val="000000"/>
          <w:szCs w:val="22"/>
          <w:lang w:eastAsia="es-CR"/>
        </w:rPr>
      </w:pPr>
    </w:p>
    <w:p w14:paraId="50336D37" w14:textId="77777777" w:rsidR="00F87CD2" w:rsidRPr="00F87CD2" w:rsidRDefault="00F87CD2" w:rsidP="00F87CD2">
      <w:pPr>
        <w:jc w:val="center"/>
        <w:rPr>
          <w:rFonts w:ascii="Arial" w:eastAsia="Calibri" w:hAnsi="Arial" w:cs="Arial"/>
          <w:b/>
          <w:szCs w:val="22"/>
          <w:lang w:eastAsia="en-US"/>
        </w:rPr>
      </w:pPr>
      <w:r w:rsidRPr="00F87CD2">
        <w:rPr>
          <w:rFonts w:ascii="Arial" w:eastAsia="Calibri" w:hAnsi="Arial" w:cs="Arial"/>
          <w:color w:val="000000"/>
          <w:szCs w:val="22"/>
          <w:lang w:eastAsia="es-CR"/>
        </w:rPr>
        <w:object w:dxaOrig="1560" w:dyaOrig="990" w14:anchorId="225AB2DE">
          <v:shape id="_x0000_i1030" type="#_x0000_t75" style="width:78pt;height:49.5pt" o:ole="">
            <v:imagedata r:id="rId21" o:title=""/>
          </v:shape>
          <o:OLEObject Type="Embed" ProgID="Word.Document.12" ShapeID="_x0000_i1030" DrawAspect="Icon" ObjectID="_1721136998" r:id="rId22">
            <o:FieldCodes>\s</o:FieldCodes>
          </o:OLEObject>
        </w:object>
      </w:r>
      <w:r w:rsidRPr="00F87CD2">
        <w:rPr>
          <w:rFonts w:ascii="Arial" w:eastAsia="Calibri" w:hAnsi="Arial" w:cs="Arial"/>
          <w:color w:val="000000"/>
          <w:szCs w:val="22"/>
          <w:lang w:eastAsia="es-CR"/>
        </w:rPr>
        <w:object w:dxaOrig="1560" w:dyaOrig="990" w14:anchorId="0C8CABDE">
          <v:shape id="_x0000_i1031" type="#_x0000_t75" style="width:78pt;height:49.5pt" o:ole="">
            <v:imagedata r:id="rId23" o:title=""/>
          </v:shape>
          <o:OLEObject Type="Embed" ProgID="Word.Document.12" ShapeID="_x0000_i1031" DrawAspect="Icon" ObjectID="_1721136999" r:id="rId24">
            <o:FieldCodes>\s</o:FieldCodes>
          </o:OLEObject>
        </w:object>
      </w:r>
    </w:p>
    <w:p w14:paraId="5FF1A8F3" w14:textId="77777777" w:rsidR="00F87CD2" w:rsidRPr="00F87CD2" w:rsidRDefault="00F87CD2" w:rsidP="00F87CD2">
      <w:pPr>
        <w:jc w:val="both"/>
        <w:rPr>
          <w:rFonts w:ascii="Arial" w:eastAsia="Calibri" w:hAnsi="Arial" w:cs="Arial"/>
          <w:b/>
          <w:color w:val="000000"/>
          <w:szCs w:val="22"/>
          <w:lang w:eastAsia="es-CR"/>
        </w:rPr>
      </w:pPr>
      <w:r w:rsidRPr="00F87CD2">
        <w:rPr>
          <w:rFonts w:ascii="Arial" w:eastAsia="Calibri" w:hAnsi="Arial" w:cs="Arial"/>
          <w:b/>
          <w:color w:val="000000"/>
          <w:szCs w:val="22"/>
          <w:lang w:eastAsia="es-CR"/>
        </w:rPr>
        <w:lastRenderedPageBreak/>
        <w:t>Artículo 3.-</w:t>
      </w:r>
      <w:r w:rsidRPr="00F87CD2">
        <w:rPr>
          <w:rFonts w:ascii="Arial" w:eastAsia="Calibri" w:hAnsi="Arial" w:cs="Arial"/>
          <w:b/>
          <w:color w:val="000000"/>
          <w:szCs w:val="22"/>
          <w:lang w:eastAsia="es-CR"/>
        </w:rPr>
        <w:tab/>
        <w:t>Reformas al Cuadro de Información Periódica.</w:t>
      </w:r>
    </w:p>
    <w:p w14:paraId="54EB678A" w14:textId="77777777" w:rsidR="00F87CD2" w:rsidRPr="00F87CD2" w:rsidRDefault="00F87CD2" w:rsidP="00F87CD2">
      <w:pPr>
        <w:pStyle w:val="Prrafodelista"/>
        <w:numPr>
          <w:ilvl w:val="0"/>
          <w:numId w:val="28"/>
        </w:numPr>
        <w:spacing w:after="160" w:line="256" w:lineRule="auto"/>
        <w:ind w:left="567" w:hanging="567"/>
        <w:jc w:val="both"/>
        <w:rPr>
          <w:rFonts w:ascii="Arial" w:eastAsia="Calibri" w:hAnsi="Arial" w:cs="Arial"/>
          <w:color w:val="000000"/>
          <w:szCs w:val="22"/>
          <w:lang w:val="es-CR" w:eastAsia="es-CR"/>
        </w:rPr>
      </w:pPr>
      <w:r w:rsidRPr="00F87CD2">
        <w:rPr>
          <w:rFonts w:ascii="Arial" w:eastAsia="Calibri" w:hAnsi="Arial" w:cs="Arial"/>
          <w:color w:val="000000"/>
          <w:szCs w:val="22"/>
          <w:lang w:val="es-CR" w:eastAsia="es-CR"/>
        </w:rPr>
        <w:t>Se incorpora en el Cuadro de Información Periódica para bolsas de valores y centrales de valores el reporte de suficiencia patrimonial.</w:t>
      </w:r>
    </w:p>
    <w:p w14:paraId="65EFFD3C" w14:textId="77777777" w:rsidR="00F87CD2" w:rsidRPr="00F87CD2" w:rsidRDefault="00F87CD2" w:rsidP="00F87CD2">
      <w:pPr>
        <w:pStyle w:val="Prrafodelista"/>
        <w:ind w:left="1211"/>
        <w:jc w:val="both"/>
        <w:rPr>
          <w:rFonts w:ascii="Arial" w:eastAsia="Calibri" w:hAnsi="Arial" w:cs="Arial"/>
          <w:color w:val="000000"/>
          <w:szCs w:val="22"/>
          <w:highlight w:val="yellow"/>
          <w:lang w:val="es-CR" w:eastAsia="es-CR"/>
        </w:rPr>
      </w:pPr>
    </w:p>
    <w:tbl>
      <w:tblPr>
        <w:tblW w:w="5701" w:type="pct"/>
        <w:tblInd w:w="-572" w:type="dxa"/>
        <w:tblCellMar>
          <w:left w:w="70" w:type="dxa"/>
          <w:right w:w="70" w:type="dxa"/>
        </w:tblCellMar>
        <w:tblLook w:val="04A0" w:firstRow="1" w:lastRow="0" w:firstColumn="1" w:lastColumn="0" w:noHBand="0" w:noVBand="1"/>
      </w:tblPr>
      <w:tblGrid>
        <w:gridCol w:w="2329"/>
        <w:gridCol w:w="1461"/>
        <w:gridCol w:w="1187"/>
        <w:gridCol w:w="1322"/>
        <w:gridCol w:w="1359"/>
        <w:gridCol w:w="2189"/>
      </w:tblGrid>
      <w:tr w:rsidR="00F87CD2" w:rsidRPr="00F87CD2" w14:paraId="4B7D7D4C" w14:textId="77777777" w:rsidTr="00F87CD2">
        <w:trPr>
          <w:trHeight w:val="625"/>
        </w:trPr>
        <w:tc>
          <w:tcPr>
            <w:tcW w:w="1198" w:type="pct"/>
            <w:tcBorders>
              <w:top w:val="single" w:sz="4" w:space="0" w:color="auto"/>
              <w:left w:val="single" w:sz="4" w:space="0" w:color="auto"/>
              <w:bottom w:val="single" w:sz="4" w:space="0" w:color="auto"/>
              <w:right w:val="single" w:sz="4" w:space="0" w:color="auto"/>
            </w:tcBorders>
            <w:vAlign w:val="center"/>
            <w:hideMark/>
          </w:tcPr>
          <w:p w14:paraId="42D2DA69"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 xml:space="preserve"> Bolsas de valores y Centrales de valores </w:t>
            </w:r>
          </w:p>
        </w:tc>
        <w:tc>
          <w:tcPr>
            <w:tcW w:w="667" w:type="pct"/>
            <w:tcBorders>
              <w:top w:val="single" w:sz="4" w:space="0" w:color="auto"/>
              <w:left w:val="nil"/>
              <w:bottom w:val="single" w:sz="4" w:space="0" w:color="auto"/>
              <w:right w:val="single" w:sz="4" w:space="0" w:color="auto"/>
            </w:tcBorders>
            <w:hideMark/>
          </w:tcPr>
          <w:p w14:paraId="2E11D266"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Periodicidad</w:t>
            </w:r>
          </w:p>
        </w:tc>
        <w:tc>
          <w:tcPr>
            <w:tcW w:w="618" w:type="pct"/>
            <w:tcBorders>
              <w:top w:val="single" w:sz="4" w:space="0" w:color="auto"/>
              <w:left w:val="nil"/>
              <w:bottom w:val="single" w:sz="4" w:space="0" w:color="auto"/>
              <w:right w:val="single" w:sz="4" w:space="0" w:color="auto"/>
            </w:tcBorders>
            <w:hideMark/>
          </w:tcPr>
          <w:p w14:paraId="7CC16E3D"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Plazo máximo de entrega</w:t>
            </w:r>
          </w:p>
        </w:tc>
        <w:tc>
          <w:tcPr>
            <w:tcW w:w="686" w:type="pct"/>
            <w:tcBorders>
              <w:top w:val="single" w:sz="4" w:space="0" w:color="auto"/>
              <w:left w:val="nil"/>
              <w:bottom w:val="single" w:sz="4" w:space="0" w:color="auto"/>
              <w:right w:val="single" w:sz="4" w:space="0" w:color="auto"/>
            </w:tcBorders>
            <w:hideMark/>
          </w:tcPr>
          <w:p w14:paraId="23AF1C8A"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Formato o normas sobre el Contenido</w:t>
            </w:r>
          </w:p>
        </w:tc>
        <w:tc>
          <w:tcPr>
            <w:tcW w:w="705" w:type="pct"/>
            <w:tcBorders>
              <w:top w:val="single" w:sz="4" w:space="0" w:color="auto"/>
              <w:left w:val="nil"/>
              <w:bottom w:val="single" w:sz="4" w:space="0" w:color="auto"/>
              <w:right w:val="single" w:sz="4" w:space="0" w:color="auto"/>
            </w:tcBorders>
            <w:hideMark/>
          </w:tcPr>
          <w:p w14:paraId="0FE68FB6"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Medio de envío</w:t>
            </w:r>
          </w:p>
        </w:tc>
        <w:tc>
          <w:tcPr>
            <w:tcW w:w="1126" w:type="pct"/>
            <w:tcBorders>
              <w:top w:val="single" w:sz="4" w:space="0" w:color="auto"/>
              <w:left w:val="nil"/>
              <w:bottom w:val="single" w:sz="4" w:space="0" w:color="auto"/>
              <w:right w:val="single" w:sz="4" w:space="0" w:color="auto"/>
            </w:tcBorders>
            <w:hideMark/>
          </w:tcPr>
          <w:p w14:paraId="1B23E7BA" w14:textId="77777777" w:rsidR="00F87CD2" w:rsidRPr="00F87CD2" w:rsidRDefault="00F87CD2">
            <w:pPr>
              <w:rPr>
                <w:rFonts w:ascii="Arial" w:hAnsi="Arial" w:cs="Arial"/>
                <w:b/>
                <w:bCs/>
                <w:szCs w:val="22"/>
                <w:lang w:val="es-CR" w:eastAsia="es-CR"/>
              </w:rPr>
            </w:pPr>
            <w:r w:rsidRPr="00F87CD2">
              <w:rPr>
                <w:rFonts w:ascii="Arial" w:hAnsi="Arial" w:cs="Arial"/>
                <w:b/>
                <w:bCs/>
                <w:szCs w:val="22"/>
                <w:lang w:val="es-CR" w:eastAsia="es-CR"/>
              </w:rPr>
              <w:t>Notas Aclaratorias</w:t>
            </w:r>
          </w:p>
        </w:tc>
      </w:tr>
      <w:tr w:rsidR="00F87CD2" w:rsidRPr="00F87CD2" w14:paraId="48847729" w14:textId="77777777" w:rsidTr="00F87CD2">
        <w:trPr>
          <w:trHeight w:val="798"/>
        </w:trPr>
        <w:tc>
          <w:tcPr>
            <w:tcW w:w="1198" w:type="pct"/>
            <w:tcBorders>
              <w:top w:val="single" w:sz="4" w:space="0" w:color="auto"/>
              <w:left w:val="single" w:sz="4" w:space="0" w:color="auto"/>
              <w:bottom w:val="single" w:sz="4" w:space="0" w:color="auto"/>
              <w:right w:val="single" w:sz="4" w:space="0" w:color="auto"/>
            </w:tcBorders>
            <w:hideMark/>
          </w:tcPr>
          <w:p w14:paraId="283CA554"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eastAsia="es-CR"/>
              </w:rPr>
              <w:t>Reporte de suficiencia patrimonial</w:t>
            </w:r>
          </w:p>
        </w:tc>
        <w:tc>
          <w:tcPr>
            <w:tcW w:w="667" w:type="pct"/>
            <w:tcBorders>
              <w:top w:val="nil"/>
              <w:left w:val="nil"/>
              <w:bottom w:val="single" w:sz="4" w:space="0" w:color="auto"/>
              <w:right w:val="single" w:sz="4" w:space="0" w:color="auto"/>
            </w:tcBorders>
            <w:hideMark/>
          </w:tcPr>
          <w:p w14:paraId="399F3D64"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rPr>
              <w:t>Mensual</w:t>
            </w:r>
          </w:p>
        </w:tc>
        <w:tc>
          <w:tcPr>
            <w:tcW w:w="618" w:type="pct"/>
            <w:tcBorders>
              <w:top w:val="nil"/>
              <w:left w:val="nil"/>
              <w:bottom w:val="single" w:sz="4" w:space="0" w:color="auto"/>
              <w:right w:val="single" w:sz="4" w:space="0" w:color="auto"/>
            </w:tcBorders>
            <w:hideMark/>
          </w:tcPr>
          <w:p w14:paraId="2D02EFCF"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rPr>
              <w:t>7 días hábiles después del cierre mensual</w:t>
            </w:r>
          </w:p>
        </w:tc>
        <w:tc>
          <w:tcPr>
            <w:tcW w:w="686" w:type="pct"/>
            <w:tcBorders>
              <w:top w:val="nil"/>
              <w:left w:val="nil"/>
              <w:bottom w:val="single" w:sz="4" w:space="0" w:color="auto"/>
              <w:right w:val="single" w:sz="4" w:space="0" w:color="auto"/>
            </w:tcBorders>
            <w:hideMark/>
          </w:tcPr>
          <w:p w14:paraId="64B6A0CE"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rPr>
              <w:t>Anexo 31</w:t>
            </w:r>
          </w:p>
        </w:tc>
        <w:tc>
          <w:tcPr>
            <w:tcW w:w="705" w:type="pct"/>
            <w:tcBorders>
              <w:top w:val="nil"/>
              <w:left w:val="nil"/>
              <w:bottom w:val="single" w:sz="4" w:space="0" w:color="auto"/>
              <w:right w:val="single" w:sz="4" w:space="0" w:color="auto"/>
            </w:tcBorders>
            <w:hideMark/>
          </w:tcPr>
          <w:p w14:paraId="4D43D90D"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rPr>
              <w:t xml:space="preserve">Sistema </w:t>
            </w:r>
            <w:proofErr w:type="spellStart"/>
            <w:r w:rsidRPr="00F87CD2">
              <w:rPr>
                <w:rFonts w:ascii="Arial" w:hAnsi="Arial" w:cs="Arial"/>
                <w:szCs w:val="22"/>
                <w:lang w:val="es-CR"/>
              </w:rPr>
              <w:t>Ingresador</w:t>
            </w:r>
            <w:proofErr w:type="spellEnd"/>
          </w:p>
        </w:tc>
        <w:tc>
          <w:tcPr>
            <w:tcW w:w="1126" w:type="pct"/>
            <w:tcBorders>
              <w:top w:val="nil"/>
              <w:left w:val="nil"/>
              <w:bottom w:val="single" w:sz="4" w:space="0" w:color="auto"/>
              <w:right w:val="single" w:sz="4" w:space="0" w:color="auto"/>
            </w:tcBorders>
            <w:hideMark/>
          </w:tcPr>
          <w:p w14:paraId="3EEA95E0" w14:textId="77777777" w:rsidR="00F87CD2" w:rsidRPr="00F87CD2" w:rsidRDefault="00F87CD2">
            <w:pPr>
              <w:jc w:val="center"/>
              <w:rPr>
                <w:rFonts w:ascii="Arial" w:hAnsi="Arial" w:cs="Arial"/>
                <w:szCs w:val="22"/>
                <w:lang w:val="es-CR" w:eastAsia="es-CR"/>
              </w:rPr>
            </w:pPr>
            <w:r w:rsidRPr="00F87CD2">
              <w:rPr>
                <w:rFonts w:ascii="Arial" w:hAnsi="Arial" w:cs="Arial"/>
                <w:szCs w:val="22"/>
                <w:lang w:val="es-CR"/>
              </w:rPr>
              <w:t>La información debe remitirse en miles de colones.</w:t>
            </w:r>
          </w:p>
        </w:tc>
      </w:tr>
    </w:tbl>
    <w:p w14:paraId="1CDC2FFF" w14:textId="77777777" w:rsidR="00F87CD2" w:rsidRPr="00F87CD2" w:rsidRDefault="00F87CD2" w:rsidP="00F87CD2">
      <w:pPr>
        <w:pStyle w:val="Prrafodelista"/>
        <w:ind w:left="1211"/>
        <w:jc w:val="both"/>
        <w:rPr>
          <w:rFonts w:ascii="Arial" w:eastAsia="Calibri" w:hAnsi="Arial" w:cs="Arial"/>
          <w:color w:val="000000"/>
          <w:szCs w:val="22"/>
          <w:lang w:eastAsia="es-CR"/>
        </w:rPr>
      </w:pPr>
    </w:p>
    <w:p w14:paraId="462A03C8" w14:textId="77777777" w:rsidR="00F87CD2" w:rsidRPr="00F87CD2" w:rsidRDefault="00F87CD2" w:rsidP="00F87CD2">
      <w:pPr>
        <w:pStyle w:val="Prrafodelista"/>
        <w:numPr>
          <w:ilvl w:val="0"/>
          <w:numId w:val="28"/>
        </w:numPr>
        <w:spacing w:after="160" w:line="256" w:lineRule="auto"/>
        <w:ind w:left="567" w:hanging="567"/>
        <w:jc w:val="both"/>
        <w:rPr>
          <w:rFonts w:ascii="Arial" w:eastAsia="Calibri" w:hAnsi="Arial" w:cs="Arial"/>
          <w:color w:val="000000"/>
          <w:szCs w:val="22"/>
          <w:lang w:eastAsia="es-CR"/>
        </w:rPr>
      </w:pPr>
      <w:r w:rsidRPr="00F87CD2">
        <w:rPr>
          <w:rFonts w:ascii="Arial" w:eastAsia="Calibri" w:hAnsi="Arial" w:cs="Arial"/>
          <w:color w:val="000000"/>
          <w:szCs w:val="22"/>
          <w:lang w:eastAsia="es-CR"/>
        </w:rPr>
        <w:t xml:space="preserve">Se modifica en el Cuadro de Información Periódica para Emisores, la presentación de los estados financieros del garante en el caso de emisores o emisiones que utilicen esta figura: </w:t>
      </w:r>
    </w:p>
    <w:p w14:paraId="54DFE7B2" w14:textId="77777777" w:rsidR="00F87CD2" w:rsidRPr="00F87CD2" w:rsidRDefault="00F87CD2" w:rsidP="00F87CD2">
      <w:pPr>
        <w:jc w:val="both"/>
        <w:rPr>
          <w:rFonts w:ascii="Arial" w:eastAsia="Calibri" w:hAnsi="Arial" w:cs="Arial"/>
          <w:color w:val="000000"/>
          <w:szCs w:val="22"/>
          <w:lang w:eastAsia="es-CR"/>
        </w:rPr>
      </w:pPr>
    </w:p>
    <w:tbl>
      <w:tblPr>
        <w:tblStyle w:val="Tablaconcuadrcula2"/>
        <w:tblW w:w="10060" w:type="dxa"/>
        <w:jc w:val="center"/>
        <w:tblInd w:w="0" w:type="dxa"/>
        <w:tblLook w:val="04A0" w:firstRow="1" w:lastRow="0" w:firstColumn="1" w:lastColumn="0" w:noHBand="0" w:noVBand="1"/>
      </w:tblPr>
      <w:tblGrid>
        <w:gridCol w:w="4541"/>
        <w:gridCol w:w="5519"/>
      </w:tblGrid>
      <w:tr w:rsidR="00F87CD2" w:rsidRPr="00F87CD2" w14:paraId="232CB737" w14:textId="77777777" w:rsidTr="00F87CD2">
        <w:trPr>
          <w:trHeight w:val="257"/>
          <w:tblHeader/>
          <w:jc w:val="center"/>
        </w:trPr>
        <w:tc>
          <w:tcPr>
            <w:tcW w:w="10060" w:type="dxa"/>
            <w:gridSpan w:val="2"/>
            <w:tcBorders>
              <w:top w:val="single" w:sz="4" w:space="0" w:color="auto"/>
              <w:left w:val="single" w:sz="4" w:space="0" w:color="auto"/>
              <w:bottom w:val="single" w:sz="4" w:space="0" w:color="auto"/>
              <w:right w:val="single" w:sz="4" w:space="0" w:color="auto"/>
            </w:tcBorders>
            <w:hideMark/>
          </w:tcPr>
          <w:p w14:paraId="2CC881EA" w14:textId="77777777" w:rsidR="00F87CD2" w:rsidRPr="00F87CD2" w:rsidRDefault="00F87CD2">
            <w:pPr>
              <w:jc w:val="center"/>
              <w:rPr>
                <w:rFonts w:ascii="Arial" w:eastAsia="Calibri" w:hAnsi="Arial" w:cs="Arial"/>
                <w:b/>
                <w:bCs/>
                <w:szCs w:val="22"/>
                <w:lang w:val="es-CR" w:eastAsia="en-US"/>
              </w:rPr>
            </w:pPr>
            <w:r w:rsidRPr="00F87CD2">
              <w:rPr>
                <w:rFonts w:ascii="Arial" w:eastAsia="Calibri" w:hAnsi="Arial" w:cs="Arial"/>
                <w:b/>
                <w:bCs/>
                <w:szCs w:val="22"/>
                <w:lang w:val="es-CR"/>
              </w:rPr>
              <w:t>Informe o Reporte</w:t>
            </w:r>
          </w:p>
        </w:tc>
      </w:tr>
      <w:tr w:rsidR="00F87CD2" w:rsidRPr="00F87CD2" w14:paraId="09DC1DD4" w14:textId="77777777" w:rsidTr="00F87CD2">
        <w:trPr>
          <w:trHeight w:val="257"/>
          <w:tblHeader/>
          <w:jc w:val="center"/>
        </w:trPr>
        <w:tc>
          <w:tcPr>
            <w:tcW w:w="4541" w:type="dxa"/>
            <w:tcBorders>
              <w:top w:val="single" w:sz="4" w:space="0" w:color="auto"/>
              <w:left w:val="single" w:sz="4" w:space="0" w:color="auto"/>
              <w:bottom w:val="single" w:sz="4" w:space="0" w:color="auto"/>
              <w:right w:val="single" w:sz="4" w:space="0" w:color="auto"/>
            </w:tcBorders>
            <w:hideMark/>
          </w:tcPr>
          <w:p w14:paraId="057D7E38" w14:textId="77777777" w:rsidR="00F87CD2" w:rsidRPr="00F87CD2" w:rsidRDefault="00F87CD2">
            <w:pPr>
              <w:jc w:val="center"/>
              <w:rPr>
                <w:rFonts w:ascii="Arial" w:eastAsia="Calibri" w:hAnsi="Arial" w:cs="Arial"/>
                <w:b/>
                <w:bCs/>
                <w:szCs w:val="22"/>
                <w:lang w:val="es-CR"/>
              </w:rPr>
            </w:pPr>
            <w:r w:rsidRPr="00F87CD2">
              <w:rPr>
                <w:rFonts w:ascii="Arial" w:eastAsia="Calibri" w:hAnsi="Arial" w:cs="Arial"/>
                <w:b/>
                <w:bCs/>
                <w:szCs w:val="22"/>
                <w:lang w:val="es-CR"/>
              </w:rPr>
              <w:t>Vigente</w:t>
            </w:r>
          </w:p>
        </w:tc>
        <w:tc>
          <w:tcPr>
            <w:tcW w:w="5519" w:type="dxa"/>
            <w:tcBorders>
              <w:top w:val="single" w:sz="4" w:space="0" w:color="auto"/>
              <w:left w:val="single" w:sz="4" w:space="0" w:color="auto"/>
              <w:bottom w:val="single" w:sz="4" w:space="0" w:color="auto"/>
              <w:right w:val="single" w:sz="4" w:space="0" w:color="auto"/>
            </w:tcBorders>
            <w:hideMark/>
          </w:tcPr>
          <w:p w14:paraId="3A5FD787" w14:textId="77777777" w:rsidR="00F87CD2" w:rsidRPr="00F87CD2" w:rsidRDefault="00F87CD2">
            <w:pPr>
              <w:jc w:val="center"/>
              <w:rPr>
                <w:rFonts w:ascii="Arial" w:eastAsia="Calibri" w:hAnsi="Arial" w:cs="Arial"/>
                <w:b/>
                <w:bCs/>
                <w:szCs w:val="22"/>
                <w:lang w:val="es-CR"/>
              </w:rPr>
            </w:pPr>
            <w:r w:rsidRPr="00F87CD2">
              <w:rPr>
                <w:rFonts w:ascii="Arial" w:eastAsia="Calibri" w:hAnsi="Arial" w:cs="Arial"/>
                <w:b/>
                <w:bCs/>
                <w:szCs w:val="22"/>
                <w:lang w:val="es-CR"/>
              </w:rPr>
              <w:t>Propuesto</w:t>
            </w:r>
          </w:p>
        </w:tc>
      </w:tr>
      <w:tr w:rsidR="00F87CD2" w:rsidRPr="00F87CD2" w14:paraId="01513A27" w14:textId="77777777" w:rsidTr="00F87CD2">
        <w:trPr>
          <w:trHeight w:val="662"/>
          <w:jc w:val="center"/>
        </w:trPr>
        <w:tc>
          <w:tcPr>
            <w:tcW w:w="4541" w:type="dxa"/>
            <w:tcBorders>
              <w:top w:val="single" w:sz="4" w:space="0" w:color="auto"/>
              <w:left w:val="single" w:sz="4" w:space="0" w:color="auto"/>
              <w:bottom w:val="single" w:sz="4" w:space="0" w:color="auto"/>
              <w:right w:val="single" w:sz="4" w:space="0" w:color="auto"/>
            </w:tcBorders>
            <w:hideMark/>
          </w:tcPr>
          <w:p w14:paraId="5C7101F1" w14:textId="77777777" w:rsidR="00F87CD2" w:rsidRPr="00F87CD2" w:rsidRDefault="00F87CD2">
            <w:pPr>
              <w:jc w:val="both"/>
              <w:rPr>
                <w:rFonts w:ascii="Arial" w:eastAsia="Calibri" w:hAnsi="Arial" w:cs="Arial"/>
                <w:szCs w:val="22"/>
                <w:lang w:val="es-CR"/>
              </w:rPr>
            </w:pPr>
            <w:r w:rsidRPr="00F87CD2">
              <w:rPr>
                <w:rFonts w:ascii="Arial" w:eastAsia="Calibri" w:hAnsi="Arial" w:cs="Arial"/>
                <w:szCs w:val="22"/>
                <w:lang w:val="es-CR"/>
              </w:rPr>
              <w:t>Estados financieros de fideicomisos de garantía de emisiones</w:t>
            </w:r>
          </w:p>
        </w:tc>
        <w:tc>
          <w:tcPr>
            <w:tcW w:w="5519" w:type="dxa"/>
            <w:tcBorders>
              <w:top w:val="single" w:sz="4" w:space="0" w:color="auto"/>
              <w:left w:val="single" w:sz="4" w:space="0" w:color="auto"/>
              <w:bottom w:val="single" w:sz="4" w:space="0" w:color="auto"/>
              <w:right w:val="single" w:sz="4" w:space="0" w:color="auto"/>
            </w:tcBorders>
            <w:hideMark/>
          </w:tcPr>
          <w:p w14:paraId="76644FAB" w14:textId="77777777" w:rsidR="00F87CD2" w:rsidRPr="00F87CD2" w:rsidRDefault="00F87CD2">
            <w:pPr>
              <w:ind w:right="-239"/>
              <w:rPr>
                <w:rFonts w:ascii="Arial" w:eastAsia="Calibri" w:hAnsi="Arial" w:cs="Arial"/>
                <w:szCs w:val="22"/>
                <w:lang w:val="es-CR"/>
              </w:rPr>
            </w:pPr>
            <w:r w:rsidRPr="00F87CD2">
              <w:rPr>
                <w:rFonts w:ascii="Arial" w:eastAsia="Calibri" w:hAnsi="Arial" w:cs="Arial"/>
                <w:szCs w:val="22"/>
                <w:lang w:val="es-CR"/>
              </w:rPr>
              <w:t>Estados financieros de garante y/o fideicomisos de garantía de emisiones</w:t>
            </w:r>
          </w:p>
        </w:tc>
      </w:tr>
      <w:tr w:rsidR="00F87CD2" w:rsidRPr="00F87CD2" w14:paraId="1162E57D" w14:textId="77777777" w:rsidTr="00F87CD2">
        <w:trPr>
          <w:trHeight w:val="475"/>
          <w:jc w:val="center"/>
        </w:trPr>
        <w:tc>
          <w:tcPr>
            <w:tcW w:w="4541" w:type="dxa"/>
            <w:tcBorders>
              <w:top w:val="single" w:sz="4" w:space="0" w:color="auto"/>
              <w:left w:val="single" w:sz="4" w:space="0" w:color="auto"/>
              <w:bottom w:val="single" w:sz="4" w:space="0" w:color="auto"/>
              <w:right w:val="single" w:sz="4" w:space="0" w:color="auto"/>
            </w:tcBorders>
            <w:vAlign w:val="center"/>
            <w:hideMark/>
          </w:tcPr>
          <w:p w14:paraId="2430945B" w14:textId="77777777" w:rsidR="00F87CD2" w:rsidRPr="00F87CD2" w:rsidRDefault="00F87CD2">
            <w:pPr>
              <w:jc w:val="both"/>
              <w:rPr>
                <w:rFonts w:ascii="Arial" w:eastAsia="Calibri" w:hAnsi="Arial" w:cs="Arial"/>
                <w:szCs w:val="22"/>
                <w:lang w:val="es-CR"/>
              </w:rPr>
            </w:pPr>
            <w:r w:rsidRPr="00F87CD2">
              <w:rPr>
                <w:rFonts w:ascii="Arial" w:hAnsi="Arial" w:cs="Arial"/>
                <w:szCs w:val="22"/>
                <w:lang w:val="es-CR"/>
              </w:rPr>
              <w:t>Estados financieros auditados de Fideicomisos de garantía</w:t>
            </w:r>
          </w:p>
        </w:tc>
        <w:tc>
          <w:tcPr>
            <w:tcW w:w="5519" w:type="dxa"/>
            <w:tcBorders>
              <w:top w:val="single" w:sz="4" w:space="0" w:color="auto"/>
              <w:left w:val="single" w:sz="4" w:space="0" w:color="auto"/>
              <w:bottom w:val="single" w:sz="4" w:space="0" w:color="auto"/>
              <w:right w:val="single" w:sz="4" w:space="0" w:color="auto"/>
            </w:tcBorders>
            <w:vAlign w:val="center"/>
            <w:hideMark/>
          </w:tcPr>
          <w:p w14:paraId="76B824A6" w14:textId="77777777" w:rsidR="00F87CD2" w:rsidRPr="00F87CD2" w:rsidRDefault="00F87CD2">
            <w:pPr>
              <w:rPr>
                <w:rFonts w:ascii="Arial" w:eastAsia="Calibri" w:hAnsi="Arial" w:cs="Arial"/>
                <w:szCs w:val="22"/>
                <w:lang w:val="es-CR"/>
              </w:rPr>
            </w:pPr>
            <w:r w:rsidRPr="00F87CD2">
              <w:rPr>
                <w:rFonts w:ascii="Arial" w:hAnsi="Arial" w:cs="Arial"/>
                <w:szCs w:val="22"/>
                <w:lang w:val="es-CR"/>
              </w:rPr>
              <w:t xml:space="preserve">Estados financieros auditados </w:t>
            </w:r>
          </w:p>
        </w:tc>
      </w:tr>
      <w:tr w:rsidR="00F87CD2" w:rsidRPr="00F87CD2" w14:paraId="6B6C6051" w14:textId="77777777" w:rsidTr="00F87CD2">
        <w:trPr>
          <w:trHeight w:val="481"/>
          <w:jc w:val="center"/>
        </w:trPr>
        <w:tc>
          <w:tcPr>
            <w:tcW w:w="4541" w:type="dxa"/>
            <w:tcBorders>
              <w:top w:val="single" w:sz="4" w:space="0" w:color="auto"/>
              <w:left w:val="single" w:sz="4" w:space="0" w:color="auto"/>
              <w:bottom w:val="single" w:sz="4" w:space="0" w:color="auto"/>
              <w:right w:val="single" w:sz="4" w:space="0" w:color="auto"/>
            </w:tcBorders>
            <w:vAlign w:val="center"/>
            <w:hideMark/>
          </w:tcPr>
          <w:p w14:paraId="1A0A9AF1" w14:textId="77777777" w:rsidR="00F87CD2" w:rsidRPr="00F87CD2" w:rsidRDefault="00F87CD2">
            <w:pPr>
              <w:jc w:val="both"/>
              <w:rPr>
                <w:rFonts w:ascii="Arial" w:eastAsia="Calibri" w:hAnsi="Arial" w:cs="Arial"/>
                <w:szCs w:val="22"/>
                <w:lang w:val="es-CR"/>
              </w:rPr>
            </w:pPr>
            <w:r w:rsidRPr="00F87CD2">
              <w:rPr>
                <w:rFonts w:ascii="Arial" w:hAnsi="Arial" w:cs="Arial"/>
                <w:szCs w:val="22"/>
                <w:lang w:val="es-CR"/>
              </w:rPr>
              <w:t>Estados financieros internos de Fideicomisos de garantía</w:t>
            </w:r>
          </w:p>
        </w:tc>
        <w:tc>
          <w:tcPr>
            <w:tcW w:w="5519" w:type="dxa"/>
            <w:tcBorders>
              <w:top w:val="single" w:sz="4" w:space="0" w:color="auto"/>
              <w:left w:val="single" w:sz="4" w:space="0" w:color="auto"/>
              <w:bottom w:val="single" w:sz="4" w:space="0" w:color="auto"/>
              <w:right w:val="single" w:sz="4" w:space="0" w:color="auto"/>
            </w:tcBorders>
            <w:vAlign w:val="center"/>
            <w:hideMark/>
          </w:tcPr>
          <w:p w14:paraId="23E6E1AD" w14:textId="77777777" w:rsidR="00F87CD2" w:rsidRPr="00F87CD2" w:rsidRDefault="00F87CD2">
            <w:pPr>
              <w:rPr>
                <w:rFonts w:ascii="Arial" w:eastAsia="Calibri" w:hAnsi="Arial" w:cs="Arial"/>
                <w:szCs w:val="22"/>
                <w:lang w:val="es-CR"/>
              </w:rPr>
            </w:pPr>
            <w:r w:rsidRPr="00F87CD2">
              <w:rPr>
                <w:rFonts w:ascii="Arial" w:hAnsi="Arial" w:cs="Arial"/>
                <w:szCs w:val="22"/>
                <w:lang w:val="es-CR"/>
              </w:rPr>
              <w:t xml:space="preserve">Estados financieros internos </w:t>
            </w:r>
          </w:p>
        </w:tc>
      </w:tr>
    </w:tbl>
    <w:p w14:paraId="37B805A7" w14:textId="77777777" w:rsidR="00F87CD2" w:rsidRPr="00F87CD2" w:rsidRDefault="00F87CD2" w:rsidP="00F87CD2">
      <w:pPr>
        <w:jc w:val="center"/>
        <w:rPr>
          <w:rFonts w:ascii="Arial" w:eastAsia="Calibri" w:hAnsi="Arial" w:cs="Arial"/>
          <w:b/>
          <w:szCs w:val="22"/>
          <w:lang w:eastAsia="en-US"/>
        </w:rPr>
      </w:pPr>
    </w:p>
    <w:p w14:paraId="29BDA5D2" w14:textId="77777777" w:rsidR="00F87CD2" w:rsidRPr="00F87CD2" w:rsidRDefault="00F87CD2" w:rsidP="00F87CD2">
      <w:pPr>
        <w:pStyle w:val="Prrafodelista"/>
        <w:numPr>
          <w:ilvl w:val="0"/>
          <w:numId w:val="28"/>
        </w:numPr>
        <w:spacing w:after="160" w:line="256" w:lineRule="auto"/>
        <w:ind w:left="567" w:hanging="567"/>
        <w:jc w:val="both"/>
        <w:rPr>
          <w:rFonts w:ascii="Arial" w:eastAsia="Calibri" w:hAnsi="Arial" w:cs="Arial"/>
          <w:szCs w:val="22"/>
        </w:rPr>
      </w:pPr>
      <w:r w:rsidRPr="00F87CD2">
        <w:rPr>
          <w:rFonts w:ascii="Arial" w:eastAsia="Calibri" w:hAnsi="Arial" w:cs="Arial"/>
          <w:szCs w:val="22"/>
        </w:rPr>
        <w:t xml:space="preserve">Se modifica el plazo máximo de entrega de la Suficiencia Patrimonial y Control de Límites (Anexo 31) </w:t>
      </w:r>
      <w:proofErr w:type="gramStart"/>
      <w:r w:rsidRPr="00F87CD2">
        <w:rPr>
          <w:rFonts w:ascii="Arial" w:eastAsia="Calibri" w:hAnsi="Arial" w:cs="Arial"/>
          <w:szCs w:val="22"/>
        </w:rPr>
        <w:t xml:space="preserve">para  </w:t>
      </w:r>
      <w:r w:rsidRPr="00F87CD2">
        <w:rPr>
          <w:rFonts w:ascii="Arial" w:eastAsia="Calibri" w:hAnsi="Arial" w:cs="Arial"/>
          <w:b/>
          <w:bCs/>
          <w:szCs w:val="22"/>
        </w:rPr>
        <w:t>Sociedades</w:t>
      </w:r>
      <w:proofErr w:type="gramEnd"/>
      <w:r w:rsidRPr="00F87CD2">
        <w:rPr>
          <w:rFonts w:ascii="Arial" w:eastAsia="Calibri" w:hAnsi="Arial" w:cs="Arial"/>
          <w:b/>
          <w:bCs/>
          <w:szCs w:val="22"/>
        </w:rPr>
        <w:t xml:space="preserve"> Fiduciarias, </w:t>
      </w:r>
      <w:proofErr w:type="spellStart"/>
      <w:r w:rsidRPr="00F87CD2">
        <w:rPr>
          <w:rFonts w:ascii="Arial" w:eastAsia="Calibri" w:hAnsi="Arial" w:cs="Arial"/>
          <w:b/>
          <w:bCs/>
          <w:szCs w:val="22"/>
        </w:rPr>
        <w:t>Titularizadoras</w:t>
      </w:r>
      <w:proofErr w:type="spellEnd"/>
      <w:r w:rsidRPr="00F87CD2">
        <w:rPr>
          <w:rFonts w:ascii="Arial" w:eastAsia="Calibri" w:hAnsi="Arial" w:cs="Arial"/>
          <w:b/>
          <w:bCs/>
          <w:szCs w:val="22"/>
        </w:rPr>
        <w:t xml:space="preserve"> y Universalidades</w:t>
      </w:r>
      <w:r w:rsidRPr="00F87CD2">
        <w:rPr>
          <w:rFonts w:ascii="Arial" w:eastAsia="Calibri" w:hAnsi="Arial" w:cs="Arial"/>
          <w:szCs w:val="22"/>
        </w:rPr>
        <w:t xml:space="preserve"> en el Cuadro de Información Periódica:</w:t>
      </w:r>
    </w:p>
    <w:p w14:paraId="6B8F2E12" w14:textId="77777777" w:rsidR="00F87CD2" w:rsidRPr="00F87CD2" w:rsidRDefault="00F87CD2" w:rsidP="00F87CD2">
      <w:pPr>
        <w:spacing w:line="252" w:lineRule="auto"/>
        <w:ind w:left="720"/>
        <w:contextualSpacing/>
        <w:jc w:val="both"/>
        <w:rPr>
          <w:rFonts w:ascii="Arial" w:eastAsia="Calibri" w:hAnsi="Arial" w:cs="Arial"/>
          <w:b/>
          <w:szCs w:val="22"/>
        </w:rPr>
      </w:pPr>
    </w:p>
    <w:tbl>
      <w:tblPr>
        <w:tblW w:w="9930" w:type="dxa"/>
        <w:jc w:val="center"/>
        <w:tblLayout w:type="fixed"/>
        <w:tblCellMar>
          <w:left w:w="70" w:type="dxa"/>
          <w:right w:w="70" w:type="dxa"/>
        </w:tblCellMar>
        <w:tblLook w:val="04A0" w:firstRow="1" w:lastRow="0" w:firstColumn="1" w:lastColumn="0" w:noHBand="0" w:noVBand="1"/>
      </w:tblPr>
      <w:tblGrid>
        <w:gridCol w:w="2626"/>
        <w:gridCol w:w="3149"/>
        <w:gridCol w:w="4155"/>
      </w:tblGrid>
      <w:tr w:rsidR="00F87CD2" w:rsidRPr="00F87CD2" w14:paraId="48A946B6" w14:textId="77777777" w:rsidTr="00F87CD2">
        <w:trPr>
          <w:trHeight w:val="615"/>
          <w:tblHeader/>
          <w:jc w:val="center"/>
        </w:trPr>
        <w:tc>
          <w:tcPr>
            <w:tcW w:w="2625" w:type="dxa"/>
            <w:tcBorders>
              <w:top w:val="single" w:sz="4" w:space="0" w:color="auto"/>
              <w:left w:val="single" w:sz="4" w:space="0" w:color="auto"/>
              <w:bottom w:val="single" w:sz="4" w:space="0" w:color="auto"/>
              <w:right w:val="single" w:sz="4" w:space="0" w:color="auto"/>
            </w:tcBorders>
            <w:noWrap/>
            <w:vAlign w:val="center"/>
            <w:hideMark/>
          </w:tcPr>
          <w:p w14:paraId="6EE75F00"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Informe/Reporte</w:t>
            </w:r>
          </w:p>
        </w:tc>
        <w:tc>
          <w:tcPr>
            <w:tcW w:w="3147" w:type="dxa"/>
            <w:tcBorders>
              <w:top w:val="single" w:sz="4" w:space="0" w:color="auto"/>
              <w:left w:val="nil"/>
              <w:bottom w:val="single" w:sz="4" w:space="0" w:color="auto"/>
              <w:right w:val="single" w:sz="4" w:space="0" w:color="auto"/>
            </w:tcBorders>
            <w:hideMark/>
          </w:tcPr>
          <w:p w14:paraId="3D346395"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Plazo máximo de entrega vigente</w:t>
            </w:r>
          </w:p>
        </w:tc>
        <w:tc>
          <w:tcPr>
            <w:tcW w:w="4152" w:type="dxa"/>
            <w:tcBorders>
              <w:top w:val="single" w:sz="4" w:space="0" w:color="auto"/>
              <w:left w:val="single" w:sz="4" w:space="0" w:color="auto"/>
              <w:bottom w:val="single" w:sz="4" w:space="0" w:color="auto"/>
              <w:right w:val="single" w:sz="4" w:space="0" w:color="auto"/>
            </w:tcBorders>
            <w:hideMark/>
          </w:tcPr>
          <w:p w14:paraId="1DDD2A37"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Plazo máximo de entrega propuesto</w:t>
            </w:r>
          </w:p>
        </w:tc>
      </w:tr>
      <w:tr w:rsidR="00F87CD2" w:rsidRPr="00F87CD2" w14:paraId="4EC39A0C" w14:textId="77777777" w:rsidTr="00F87CD2">
        <w:trPr>
          <w:trHeight w:val="1012"/>
          <w:jc w:val="center"/>
        </w:trPr>
        <w:tc>
          <w:tcPr>
            <w:tcW w:w="2625" w:type="dxa"/>
            <w:tcBorders>
              <w:top w:val="single" w:sz="4" w:space="0" w:color="auto"/>
              <w:left w:val="single" w:sz="4" w:space="0" w:color="auto"/>
              <w:bottom w:val="single" w:sz="4" w:space="0" w:color="auto"/>
              <w:right w:val="single" w:sz="4" w:space="0" w:color="auto"/>
            </w:tcBorders>
            <w:vAlign w:val="center"/>
            <w:hideMark/>
          </w:tcPr>
          <w:p w14:paraId="210A9FF1" w14:textId="77777777" w:rsidR="00F87CD2" w:rsidRPr="00F87CD2" w:rsidRDefault="00F87CD2">
            <w:pPr>
              <w:contextualSpacing/>
              <w:jc w:val="center"/>
              <w:rPr>
                <w:rFonts w:ascii="Arial" w:hAnsi="Arial" w:cs="Arial"/>
                <w:b/>
                <w:bCs/>
                <w:szCs w:val="22"/>
                <w:lang w:val="es-CR" w:eastAsia="es-CR"/>
              </w:rPr>
            </w:pPr>
            <w:r w:rsidRPr="00F87CD2">
              <w:rPr>
                <w:rFonts w:ascii="Arial" w:hAnsi="Arial" w:cs="Arial"/>
                <w:b/>
                <w:bCs/>
                <w:szCs w:val="22"/>
                <w:lang w:val="es-CR" w:eastAsia="es-CR"/>
              </w:rPr>
              <w:t>Suficiencia patrimonial y control de límites</w:t>
            </w:r>
          </w:p>
        </w:tc>
        <w:tc>
          <w:tcPr>
            <w:tcW w:w="3147" w:type="dxa"/>
            <w:tcBorders>
              <w:top w:val="single" w:sz="4" w:space="0" w:color="auto"/>
              <w:left w:val="nil"/>
              <w:bottom w:val="single" w:sz="4" w:space="0" w:color="auto"/>
              <w:right w:val="single" w:sz="4" w:space="0" w:color="auto"/>
            </w:tcBorders>
            <w:vAlign w:val="center"/>
            <w:hideMark/>
          </w:tcPr>
          <w:p w14:paraId="2FA6A2A4" w14:textId="77777777" w:rsidR="00F87CD2" w:rsidRPr="00F87CD2" w:rsidRDefault="00F87CD2">
            <w:pPr>
              <w:rPr>
                <w:rFonts w:ascii="Arial" w:hAnsi="Arial" w:cs="Arial"/>
                <w:bCs/>
                <w:szCs w:val="22"/>
                <w:lang w:val="es-CR" w:eastAsia="es-CR"/>
              </w:rPr>
            </w:pPr>
            <w:r w:rsidRPr="00F87CD2">
              <w:rPr>
                <w:rFonts w:ascii="Arial" w:hAnsi="Arial" w:cs="Arial"/>
                <w:bCs/>
                <w:szCs w:val="22"/>
                <w:lang w:val="es-CR" w:eastAsia="es-CR"/>
              </w:rPr>
              <w:t xml:space="preserve">7 días hábiles después del cierre mensual   </w:t>
            </w:r>
          </w:p>
        </w:tc>
        <w:tc>
          <w:tcPr>
            <w:tcW w:w="4152" w:type="dxa"/>
            <w:tcBorders>
              <w:top w:val="single" w:sz="4" w:space="0" w:color="auto"/>
              <w:left w:val="single" w:sz="4" w:space="0" w:color="auto"/>
              <w:bottom w:val="single" w:sz="4" w:space="0" w:color="auto"/>
              <w:right w:val="single" w:sz="4" w:space="0" w:color="auto"/>
            </w:tcBorders>
            <w:vAlign w:val="center"/>
            <w:hideMark/>
          </w:tcPr>
          <w:p w14:paraId="26BA2900" w14:textId="77777777" w:rsidR="00F87CD2" w:rsidRPr="00F87CD2" w:rsidRDefault="00F87CD2">
            <w:pPr>
              <w:rPr>
                <w:rFonts w:ascii="Arial" w:hAnsi="Arial" w:cs="Arial"/>
                <w:bCs/>
                <w:szCs w:val="22"/>
                <w:lang w:val="es-CR" w:eastAsia="es-CR"/>
              </w:rPr>
            </w:pPr>
            <w:r w:rsidRPr="00F87CD2">
              <w:rPr>
                <w:rFonts w:ascii="Arial" w:hAnsi="Arial" w:cs="Arial"/>
                <w:bCs/>
                <w:szCs w:val="22"/>
                <w:lang w:val="es-CR" w:eastAsia="es-CR"/>
              </w:rPr>
              <w:t>5 días hábiles después del cierre mensual</w:t>
            </w:r>
          </w:p>
        </w:tc>
      </w:tr>
    </w:tbl>
    <w:p w14:paraId="40F9AF47" w14:textId="77777777" w:rsidR="00F87CD2" w:rsidRPr="00F87CD2" w:rsidRDefault="00F87CD2" w:rsidP="00F87CD2">
      <w:pPr>
        <w:spacing w:line="254" w:lineRule="auto"/>
        <w:ind w:left="720"/>
        <w:contextualSpacing/>
        <w:jc w:val="both"/>
        <w:rPr>
          <w:rFonts w:ascii="Arial" w:eastAsia="Calibri" w:hAnsi="Arial" w:cs="Arial"/>
          <w:b/>
          <w:szCs w:val="22"/>
          <w:lang w:val="es-CR" w:eastAsia="en-US"/>
        </w:rPr>
      </w:pPr>
    </w:p>
    <w:p w14:paraId="45C6065E" w14:textId="77777777" w:rsidR="00F87CD2" w:rsidRPr="00F87CD2" w:rsidRDefault="00F87CD2" w:rsidP="00F87CD2">
      <w:pPr>
        <w:pStyle w:val="Prrafodelista"/>
        <w:numPr>
          <w:ilvl w:val="0"/>
          <w:numId w:val="28"/>
        </w:numPr>
        <w:spacing w:after="160" w:line="256" w:lineRule="auto"/>
        <w:ind w:left="567" w:hanging="567"/>
        <w:jc w:val="both"/>
        <w:rPr>
          <w:rFonts w:ascii="Arial" w:eastAsiaTheme="minorHAnsi" w:hAnsi="Arial" w:cs="Arial"/>
          <w:color w:val="000000"/>
          <w:szCs w:val="22"/>
          <w:lang w:eastAsia="es-CR"/>
        </w:rPr>
      </w:pPr>
      <w:r w:rsidRPr="00F87CD2">
        <w:rPr>
          <w:rFonts w:ascii="Arial" w:hAnsi="Arial" w:cs="Arial"/>
          <w:color w:val="000000"/>
          <w:szCs w:val="22"/>
          <w:lang w:eastAsia="es-CR"/>
        </w:rPr>
        <w:t xml:space="preserve">Se modifica el medio de envío de la comunicación del auditor externo para Emisores no Financieros, Puestos de Bolsa, Sociedades de Fondos de Inversión y fondos de inversión, Sociedades Fiduciarias, </w:t>
      </w:r>
      <w:proofErr w:type="spellStart"/>
      <w:r w:rsidRPr="00F87CD2">
        <w:rPr>
          <w:rFonts w:ascii="Arial" w:hAnsi="Arial" w:cs="Arial"/>
          <w:color w:val="000000"/>
          <w:szCs w:val="22"/>
          <w:lang w:eastAsia="es-CR"/>
        </w:rPr>
        <w:t>Titularizadoras</w:t>
      </w:r>
      <w:proofErr w:type="spellEnd"/>
      <w:r w:rsidRPr="00F87CD2">
        <w:rPr>
          <w:rFonts w:ascii="Arial" w:hAnsi="Arial" w:cs="Arial"/>
          <w:color w:val="000000"/>
          <w:szCs w:val="22"/>
          <w:lang w:eastAsia="es-CR"/>
        </w:rPr>
        <w:t xml:space="preserve"> y Universalidades, Bolsas de valores, Centrales de valores, Calificadoras de riesgo, Grupos Financieros supervisados por </w:t>
      </w:r>
      <w:proofErr w:type="spellStart"/>
      <w:r w:rsidRPr="00F87CD2">
        <w:rPr>
          <w:rFonts w:ascii="Arial" w:hAnsi="Arial" w:cs="Arial"/>
          <w:color w:val="000000"/>
          <w:szCs w:val="22"/>
          <w:lang w:eastAsia="es-CR"/>
        </w:rPr>
        <w:t>Sugeval</w:t>
      </w:r>
      <w:proofErr w:type="spellEnd"/>
      <w:r w:rsidRPr="00F87CD2">
        <w:rPr>
          <w:rFonts w:ascii="Arial" w:hAnsi="Arial" w:cs="Arial"/>
          <w:color w:val="000000"/>
          <w:szCs w:val="22"/>
          <w:lang w:eastAsia="es-CR"/>
        </w:rPr>
        <w:t xml:space="preserve"> y Proveedores de Precios. </w:t>
      </w:r>
    </w:p>
    <w:tbl>
      <w:tblPr>
        <w:tblW w:w="9930" w:type="dxa"/>
        <w:jc w:val="center"/>
        <w:tblLayout w:type="fixed"/>
        <w:tblCellMar>
          <w:left w:w="70" w:type="dxa"/>
          <w:right w:w="70" w:type="dxa"/>
        </w:tblCellMar>
        <w:tblLook w:val="04A0" w:firstRow="1" w:lastRow="0" w:firstColumn="1" w:lastColumn="0" w:noHBand="0" w:noVBand="1"/>
      </w:tblPr>
      <w:tblGrid>
        <w:gridCol w:w="3120"/>
        <w:gridCol w:w="2658"/>
        <w:gridCol w:w="4152"/>
      </w:tblGrid>
      <w:tr w:rsidR="00F87CD2" w:rsidRPr="00F87CD2" w14:paraId="50E5CF67" w14:textId="77777777" w:rsidTr="00F87CD2">
        <w:trPr>
          <w:trHeight w:val="615"/>
          <w:tblHeader/>
          <w:jc w:val="center"/>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58EF1A3D" w14:textId="77777777" w:rsidR="00F87CD2" w:rsidRPr="00F87CD2" w:rsidRDefault="00F87CD2">
            <w:pPr>
              <w:jc w:val="center"/>
              <w:rPr>
                <w:rFonts w:ascii="Arial" w:hAnsi="Arial" w:cs="Arial"/>
                <w:b/>
                <w:bCs/>
                <w:szCs w:val="22"/>
                <w:lang w:val="es-CR" w:eastAsia="es-CR"/>
              </w:rPr>
            </w:pPr>
            <w:bookmarkStart w:id="2" w:name="_Hlk67579283"/>
            <w:r w:rsidRPr="00F87CD2">
              <w:rPr>
                <w:rFonts w:ascii="Arial" w:hAnsi="Arial" w:cs="Arial"/>
                <w:b/>
                <w:bCs/>
                <w:szCs w:val="22"/>
                <w:lang w:val="es-CR" w:eastAsia="es-CR"/>
              </w:rPr>
              <w:lastRenderedPageBreak/>
              <w:t>Informe/Reporte</w:t>
            </w:r>
          </w:p>
        </w:tc>
        <w:tc>
          <w:tcPr>
            <w:tcW w:w="2658" w:type="dxa"/>
            <w:tcBorders>
              <w:top w:val="single" w:sz="4" w:space="0" w:color="auto"/>
              <w:left w:val="nil"/>
              <w:bottom w:val="single" w:sz="4" w:space="0" w:color="auto"/>
              <w:right w:val="single" w:sz="4" w:space="0" w:color="auto"/>
            </w:tcBorders>
            <w:hideMark/>
          </w:tcPr>
          <w:p w14:paraId="67CE8B0C"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Medio de envío Vigente</w:t>
            </w:r>
          </w:p>
        </w:tc>
        <w:tc>
          <w:tcPr>
            <w:tcW w:w="4152" w:type="dxa"/>
            <w:tcBorders>
              <w:top w:val="single" w:sz="4" w:space="0" w:color="auto"/>
              <w:left w:val="single" w:sz="4" w:space="0" w:color="auto"/>
              <w:bottom w:val="single" w:sz="4" w:space="0" w:color="auto"/>
              <w:right w:val="single" w:sz="4" w:space="0" w:color="auto"/>
            </w:tcBorders>
            <w:hideMark/>
          </w:tcPr>
          <w:p w14:paraId="79B932FB" w14:textId="77777777" w:rsidR="00F87CD2" w:rsidRPr="00F87CD2" w:rsidRDefault="00F87CD2">
            <w:pPr>
              <w:jc w:val="center"/>
              <w:rPr>
                <w:rFonts w:ascii="Arial" w:hAnsi="Arial" w:cs="Arial"/>
                <w:b/>
                <w:bCs/>
                <w:szCs w:val="22"/>
                <w:lang w:val="es-CR" w:eastAsia="es-CR"/>
              </w:rPr>
            </w:pPr>
            <w:r w:rsidRPr="00F87CD2">
              <w:rPr>
                <w:rFonts w:ascii="Arial" w:hAnsi="Arial" w:cs="Arial"/>
                <w:b/>
                <w:bCs/>
                <w:szCs w:val="22"/>
                <w:lang w:val="es-CR" w:eastAsia="es-CR"/>
              </w:rPr>
              <w:t>Medio de envío Propuesto</w:t>
            </w:r>
          </w:p>
        </w:tc>
      </w:tr>
      <w:tr w:rsidR="00F87CD2" w:rsidRPr="00F87CD2" w14:paraId="412BC741" w14:textId="77777777" w:rsidTr="00F87CD2">
        <w:trPr>
          <w:trHeight w:val="101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1B5284F4" w14:textId="77777777" w:rsidR="00F87CD2" w:rsidRPr="00F87CD2" w:rsidRDefault="00F87CD2">
            <w:pPr>
              <w:contextualSpacing/>
              <w:jc w:val="center"/>
              <w:rPr>
                <w:rFonts w:ascii="Arial" w:hAnsi="Arial" w:cs="Arial"/>
                <w:szCs w:val="22"/>
                <w:lang w:val="es-CR" w:eastAsia="es-CR"/>
              </w:rPr>
            </w:pPr>
            <w:r w:rsidRPr="00F87CD2">
              <w:rPr>
                <w:rFonts w:ascii="Arial" w:hAnsi="Arial" w:cs="Arial"/>
                <w:szCs w:val="22"/>
                <w:lang w:val="es-CR" w:eastAsia="es-CR"/>
              </w:rPr>
              <w:t xml:space="preserve">Comunicación del nombre del Contador </w:t>
            </w:r>
            <w:proofErr w:type="gramStart"/>
            <w:r w:rsidRPr="00F87CD2">
              <w:rPr>
                <w:rFonts w:ascii="Arial" w:hAnsi="Arial" w:cs="Arial"/>
                <w:szCs w:val="22"/>
                <w:lang w:val="es-CR" w:eastAsia="es-CR"/>
              </w:rPr>
              <w:t>Público  Autorizado</w:t>
            </w:r>
            <w:proofErr w:type="gramEnd"/>
            <w:r w:rsidRPr="00F87CD2">
              <w:rPr>
                <w:rFonts w:ascii="Arial" w:hAnsi="Arial" w:cs="Arial"/>
                <w:szCs w:val="22"/>
                <w:lang w:val="es-CR" w:eastAsia="es-CR"/>
              </w:rPr>
              <w:t xml:space="preserve"> o firma de auditores externos del emisor y los garantes  </w:t>
            </w:r>
          </w:p>
        </w:tc>
        <w:tc>
          <w:tcPr>
            <w:tcW w:w="2658" w:type="dxa"/>
            <w:tcBorders>
              <w:top w:val="single" w:sz="4" w:space="0" w:color="auto"/>
              <w:left w:val="nil"/>
              <w:bottom w:val="single" w:sz="4" w:space="0" w:color="auto"/>
              <w:right w:val="single" w:sz="4" w:space="0" w:color="auto"/>
            </w:tcBorders>
            <w:vAlign w:val="center"/>
            <w:hideMark/>
          </w:tcPr>
          <w:p w14:paraId="47C332A5" w14:textId="77777777" w:rsidR="00F87CD2" w:rsidRPr="00F87CD2" w:rsidRDefault="00F87CD2">
            <w:pPr>
              <w:jc w:val="center"/>
              <w:rPr>
                <w:rFonts w:ascii="Arial" w:hAnsi="Arial" w:cs="Arial"/>
                <w:bCs/>
                <w:szCs w:val="22"/>
                <w:lang w:val="es-CR" w:eastAsia="es-CR"/>
              </w:rPr>
            </w:pPr>
            <w:r w:rsidRPr="00F87CD2">
              <w:rPr>
                <w:rFonts w:ascii="Arial" w:hAnsi="Arial" w:cs="Arial"/>
                <w:bCs/>
                <w:szCs w:val="22"/>
                <w:lang w:val="es-CR" w:eastAsia="es-CR"/>
              </w:rPr>
              <w:t>MENDOCEL</w:t>
            </w:r>
          </w:p>
          <w:p w14:paraId="267AD203" w14:textId="77777777" w:rsidR="00F87CD2" w:rsidRPr="00F87CD2" w:rsidRDefault="00F87CD2">
            <w:pPr>
              <w:jc w:val="center"/>
              <w:rPr>
                <w:rFonts w:ascii="Arial" w:hAnsi="Arial" w:cs="Arial"/>
                <w:bCs/>
                <w:szCs w:val="22"/>
                <w:lang w:val="es-CR" w:eastAsia="es-CR"/>
              </w:rPr>
            </w:pPr>
            <w:r w:rsidRPr="00F87CD2">
              <w:rPr>
                <w:rFonts w:ascii="Arial" w:hAnsi="Arial" w:cs="Arial"/>
                <w:bCs/>
                <w:szCs w:val="22"/>
                <w:lang w:val="es-CR" w:eastAsia="es-CR"/>
              </w:rPr>
              <w:t>SGV-A-188</w:t>
            </w:r>
          </w:p>
        </w:tc>
        <w:tc>
          <w:tcPr>
            <w:tcW w:w="4152" w:type="dxa"/>
            <w:tcBorders>
              <w:top w:val="single" w:sz="4" w:space="0" w:color="auto"/>
              <w:left w:val="single" w:sz="4" w:space="0" w:color="auto"/>
              <w:bottom w:val="single" w:sz="4" w:space="0" w:color="auto"/>
              <w:right w:val="single" w:sz="4" w:space="0" w:color="auto"/>
            </w:tcBorders>
            <w:vAlign w:val="center"/>
            <w:hideMark/>
          </w:tcPr>
          <w:p w14:paraId="50D79069" w14:textId="77777777" w:rsidR="00F87CD2" w:rsidRPr="00F87CD2" w:rsidRDefault="00F87CD2">
            <w:pPr>
              <w:jc w:val="center"/>
              <w:rPr>
                <w:rFonts w:ascii="Arial" w:hAnsi="Arial" w:cs="Arial"/>
                <w:bCs/>
                <w:szCs w:val="22"/>
                <w:lang w:val="es-CR" w:eastAsia="es-CR"/>
              </w:rPr>
            </w:pPr>
            <w:r w:rsidRPr="00F87CD2">
              <w:rPr>
                <w:rFonts w:ascii="Arial" w:hAnsi="Arial" w:cs="Arial"/>
                <w:bCs/>
                <w:szCs w:val="22"/>
                <w:lang w:val="es-CR" w:eastAsia="es-CR"/>
              </w:rPr>
              <w:t>Sistema de Registro y Actualización de Roles.</w:t>
            </w:r>
          </w:p>
          <w:p w14:paraId="78CBE562" w14:textId="77777777" w:rsidR="00F87CD2" w:rsidRPr="00F87CD2" w:rsidRDefault="00F87CD2">
            <w:pPr>
              <w:jc w:val="center"/>
              <w:rPr>
                <w:rFonts w:ascii="Arial" w:hAnsi="Arial" w:cs="Arial"/>
                <w:bCs/>
                <w:szCs w:val="22"/>
                <w:lang w:val="es-CR" w:eastAsia="es-CR"/>
              </w:rPr>
            </w:pPr>
            <w:r w:rsidRPr="00F87CD2">
              <w:rPr>
                <w:rFonts w:ascii="Arial" w:hAnsi="Arial" w:cs="Arial"/>
                <w:bCs/>
                <w:szCs w:val="22"/>
                <w:lang w:val="es-CR" w:eastAsia="es-CR"/>
              </w:rPr>
              <w:t>SGV-A-188</w:t>
            </w:r>
          </w:p>
        </w:tc>
      </w:tr>
    </w:tbl>
    <w:p w14:paraId="4787DCC2" w14:textId="77777777" w:rsidR="00F87CD2" w:rsidRPr="00F87CD2" w:rsidRDefault="00F87CD2" w:rsidP="00F87CD2">
      <w:pPr>
        <w:pStyle w:val="Prrafodelista"/>
        <w:jc w:val="center"/>
        <w:rPr>
          <w:rFonts w:ascii="Arial" w:eastAsia="Calibri" w:hAnsi="Arial" w:cs="Arial"/>
          <w:b/>
          <w:szCs w:val="22"/>
          <w:lang w:val="es-CR" w:eastAsia="en-US"/>
        </w:rPr>
      </w:pPr>
      <w:r w:rsidRPr="00F87CD2">
        <w:rPr>
          <w:rFonts w:ascii="Arial" w:eastAsia="Calibri" w:hAnsi="Arial" w:cs="Arial"/>
          <w:color w:val="000000"/>
          <w:szCs w:val="22"/>
          <w:lang w:eastAsia="es-CR"/>
        </w:rPr>
        <w:object w:dxaOrig="1170" w:dyaOrig="765" w14:anchorId="0BAA267D">
          <v:shape id="_x0000_i1032" type="#_x0000_t75" style="width:58.5pt;height:38.25pt" o:ole="">
            <v:imagedata r:id="rId25" o:title=""/>
          </v:shape>
          <o:OLEObject Type="Embed" ProgID="Excel.Sheet.8" ShapeID="_x0000_i1032" DrawAspect="Icon" ObjectID="_1721137000" r:id="rId26"/>
        </w:object>
      </w:r>
    </w:p>
    <w:p w14:paraId="422CD7A4" w14:textId="77777777" w:rsidR="00F87CD2" w:rsidRPr="00F87CD2" w:rsidRDefault="00F87CD2" w:rsidP="00F87CD2">
      <w:pPr>
        <w:tabs>
          <w:tab w:val="center" w:pos="4419"/>
        </w:tabs>
        <w:rPr>
          <w:rFonts w:ascii="Arial" w:eastAsia="Calibri" w:hAnsi="Arial" w:cs="Arial"/>
          <w:b/>
          <w:szCs w:val="22"/>
        </w:rPr>
      </w:pPr>
    </w:p>
    <w:p w14:paraId="4D598E43" w14:textId="77777777" w:rsidR="00F87CD2" w:rsidRPr="00F87CD2" w:rsidRDefault="00F87CD2" w:rsidP="00F87CD2">
      <w:pPr>
        <w:tabs>
          <w:tab w:val="center" w:pos="4419"/>
        </w:tabs>
        <w:rPr>
          <w:rFonts w:ascii="Arial" w:eastAsia="Calibri" w:hAnsi="Arial" w:cs="Arial"/>
          <w:bCs/>
          <w:szCs w:val="22"/>
        </w:rPr>
      </w:pPr>
      <w:r w:rsidRPr="00F87CD2">
        <w:rPr>
          <w:rFonts w:ascii="Arial" w:eastAsia="Calibri" w:hAnsi="Arial" w:cs="Arial"/>
          <w:b/>
          <w:szCs w:val="22"/>
        </w:rPr>
        <w:t>Artículo 4.- Modificaciones a la naturaleza de la información periódica</w:t>
      </w:r>
    </w:p>
    <w:p w14:paraId="7FB37874" w14:textId="77777777" w:rsidR="00F87CD2" w:rsidRPr="00F87CD2" w:rsidRDefault="00F87CD2" w:rsidP="00F87CD2">
      <w:pPr>
        <w:tabs>
          <w:tab w:val="center" w:pos="4419"/>
        </w:tabs>
        <w:jc w:val="both"/>
        <w:rPr>
          <w:rFonts w:ascii="Arial" w:eastAsia="Calibri" w:hAnsi="Arial" w:cs="Arial"/>
          <w:bCs/>
          <w:szCs w:val="22"/>
        </w:rPr>
      </w:pPr>
      <w:r w:rsidRPr="00F87CD2">
        <w:rPr>
          <w:rFonts w:ascii="Arial" w:eastAsia="Calibri" w:hAnsi="Arial" w:cs="Arial"/>
          <w:bCs/>
          <w:szCs w:val="22"/>
        </w:rPr>
        <w:t xml:space="preserve">Se modifican los incisos m. y n. del Artículo 3. </w:t>
      </w:r>
      <w:r w:rsidRPr="00F87CD2">
        <w:rPr>
          <w:rFonts w:ascii="Arial" w:eastAsia="Calibri" w:hAnsi="Arial" w:cs="Arial"/>
          <w:bCs/>
          <w:i/>
          <w:iCs/>
          <w:szCs w:val="22"/>
        </w:rPr>
        <w:t>Naturaleza de la información periódica, divulgación y registro</w:t>
      </w:r>
      <w:r w:rsidRPr="00F87CD2">
        <w:rPr>
          <w:rFonts w:ascii="Arial" w:eastAsia="Calibri" w:hAnsi="Arial" w:cs="Arial"/>
          <w:bCs/>
          <w:szCs w:val="22"/>
        </w:rPr>
        <w:t>, del acuerdo SGV-A-75, para que se lean como sigue:</w:t>
      </w:r>
    </w:p>
    <w:p w14:paraId="2320EB5C" w14:textId="77777777" w:rsidR="00F87CD2" w:rsidRPr="00F87CD2" w:rsidRDefault="00F87CD2" w:rsidP="00F87CD2">
      <w:pPr>
        <w:tabs>
          <w:tab w:val="center" w:pos="4419"/>
        </w:tabs>
        <w:ind w:left="567" w:right="900"/>
        <w:jc w:val="both"/>
        <w:rPr>
          <w:rFonts w:ascii="Arial" w:eastAsia="Calibri" w:hAnsi="Arial" w:cs="Arial"/>
          <w:bCs/>
          <w:i/>
          <w:iCs/>
          <w:szCs w:val="22"/>
        </w:rPr>
      </w:pPr>
      <w:r w:rsidRPr="00F87CD2">
        <w:rPr>
          <w:rFonts w:ascii="Arial" w:eastAsia="Calibri" w:hAnsi="Arial" w:cs="Arial"/>
          <w:bCs/>
          <w:i/>
          <w:iCs/>
          <w:szCs w:val="22"/>
        </w:rPr>
        <w:t>“(…)</w:t>
      </w:r>
    </w:p>
    <w:p w14:paraId="40F1ED95" w14:textId="77777777" w:rsidR="00F87CD2" w:rsidRPr="00F87CD2" w:rsidRDefault="00F87CD2" w:rsidP="00F87CD2">
      <w:pPr>
        <w:tabs>
          <w:tab w:val="center" w:pos="4419"/>
        </w:tabs>
        <w:ind w:left="567" w:right="900"/>
        <w:jc w:val="both"/>
        <w:rPr>
          <w:rFonts w:ascii="Arial" w:eastAsia="Calibri" w:hAnsi="Arial" w:cs="Arial"/>
          <w:bCs/>
          <w:i/>
          <w:iCs/>
          <w:szCs w:val="22"/>
        </w:rPr>
      </w:pPr>
      <w:r w:rsidRPr="00F87CD2">
        <w:rPr>
          <w:rFonts w:ascii="Arial" w:eastAsia="Calibri" w:hAnsi="Arial" w:cs="Arial"/>
          <w:bCs/>
          <w:i/>
          <w:iCs/>
          <w:szCs w:val="22"/>
        </w:rPr>
        <w:t xml:space="preserve">m. El Archivo No. 3 - Plantilla de Morosidad y el campo “Cédula del Inquilino” del Archivo No. 2 - Plantilla de Inquilinos del “Reporte de composición de cartera de fondos inmobiliarios”, Anexo 22. </w:t>
      </w:r>
    </w:p>
    <w:p w14:paraId="1C3439B5" w14:textId="77777777" w:rsidR="00F87CD2" w:rsidRPr="00F87CD2" w:rsidRDefault="00F87CD2" w:rsidP="00F87CD2">
      <w:pPr>
        <w:tabs>
          <w:tab w:val="center" w:pos="4419"/>
        </w:tabs>
        <w:ind w:left="567" w:right="900"/>
        <w:jc w:val="both"/>
        <w:rPr>
          <w:rFonts w:ascii="Arial" w:eastAsia="Calibri" w:hAnsi="Arial" w:cs="Arial"/>
          <w:bCs/>
          <w:i/>
          <w:iCs/>
          <w:szCs w:val="22"/>
        </w:rPr>
      </w:pPr>
      <w:r w:rsidRPr="00F87CD2">
        <w:rPr>
          <w:rFonts w:ascii="Arial" w:eastAsia="Calibri" w:hAnsi="Arial" w:cs="Arial"/>
          <w:bCs/>
          <w:i/>
          <w:iCs/>
          <w:szCs w:val="22"/>
        </w:rPr>
        <w:t>n. La sección II. Inquilinos y el campo “Terceras partes: agente” de la sección I. Inmuebles, del reporte “Cambio en la información inmobiliaria, Anexo 36.</w:t>
      </w:r>
    </w:p>
    <w:p w14:paraId="1A96A0A9" w14:textId="77777777" w:rsidR="00F87CD2" w:rsidRPr="00F87CD2" w:rsidRDefault="00F87CD2" w:rsidP="00F87CD2">
      <w:pPr>
        <w:tabs>
          <w:tab w:val="center" w:pos="4419"/>
        </w:tabs>
        <w:ind w:left="567" w:right="900"/>
        <w:jc w:val="both"/>
        <w:rPr>
          <w:rFonts w:ascii="Arial" w:eastAsia="Calibri" w:hAnsi="Arial" w:cs="Arial"/>
          <w:bCs/>
          <w:i/>
          <w:iCs/>
          <w:szCs w:val="22"/>
        </w:rPr>
      </w:pPr>
      <w:r w:rsidRPr="00F87CD2">
        <w:rPr>
          <w:rFonts w:ascii="Arial" w:eastAsia="Calibri" w:hAnsi="Arial" w:cs="Arial"/>
          <w:bCs/>
          <w:i/>
          <w:iCs/>
          <w:szCs w:val="22"/>
        </w:rPr>
        <w:t>(…)”</w:t>
      </w:r>
    </w:p>
    <w:p w14:paraId="1F9E26F3" w14:textId="77777777" w:rsidR="00F87CD2" w:rsidRPr="00F87CD2" w:rsidRDefault="00F87CD2" w:rsidP="00F87CD2">
      <w:pPr>
        <w:tabs>
          <w:tab w:val="center" w:pos="4419"/>
        </w:tabs>
        <w:rPr>
          <w:rFonts w:ascii="Arial" w:eastAsia="Calibri" w:hAnsi="Arial" w:cs="Arial"/>
          <w:b/>
          <w:szCs w:val="22"/>
        </w:rPr>
      </w:pPr>
    </w:p>
    <w:p w14:paraId="1148EA8F" w14:textId="77777777" w:rsidR="00F87CD2" w:rsidRPr="00F87CD2" w:rsidRDefault="00F87CD2" w:rsidP="00F87CD2">
      <w:pPr>
        <w:tabs>
          <w:tab w:val="center" w:pos="4419"/>
        </w:tabs>
        <w:rPr>
          <w:rFonts w:ascii="Arial" w:eastAsia="Calibri" w:hAnsi="Arial" w:cs="Arial"/>
          <w:bCs/>
          <w:szCs w:val="22"/>
        </w:rPr>
      </w:pPr>
      <w:r w:rsidRPr="00F87CD2">
        <w:rPr>
          <w:rFonts w:ascii="Arial" w:eastAsia="Calibri" w:hAnsi="Arial" w:cs="Arial"/>
          <w:b/>
          <w:szCs w:val="22"/>
        </w:rPr>
        <w:t>Artículo 5.- Otras Modificaciones</w:t>
      </w:r>
    </w:p>
    <w:p w14:paraId="355B1EDB" w14:textId="77777777" w:rsidR="00F87CD2" w:rsidRPr="00F87CD2" w:rsidRDefault="00F87CD2" w:rsidP="00F87CD2">
      <w:pPr>
        <w:pStyle w:val="Prrafodelista"/>
        <w:numPr>
          <w:ilvl w:val="0"/>
          <w:numId w:val="30"/>
        </w:numPr>
        <w:spacing w:after="160" w:line="256" w:lineRule="auto"/>
        <w:ind w:left="567" w:hanging="567"/>
        <w:jc w:val="both"/>
        <w:rPr>
          <w:rFonts w:ascii="Arial" w:eastAsia="Calibri" w:hAnsi="Arial" w:cs="Arial"/>
          <w:bCs/>
          <w:szCs w:val="22"/>
        </w:rPr>
      </w:pPr>
      <w:r w:rsidRPr="00F87CD2">
        <w:rPr>
          <w:rFonts w:ascii="Arial" w:eastAsia="Calibri" w:hAnsi="Arial" w:cs="Arial"/>
          <w:bCs/>
          <w:szCs w:val="22"/>
        </w:rPr>
        <w:t xml:space="preserve">Se modifica el inciso a) del artículo 32 Acuerdo </w:t>
      </w:r>
      <w:r w:rsidRPr="00F87CD2">
        <w:rPr>
          <w:rFonts w:ascii="Arial" w:eastAsia="Calibri" w:hAnsi="Arial" w:cs="Arial"/>
          <w:b/>
          <w:color w:val="000000"/>
          <w:szCs w:val="22"/>
        </w:rPr>
        <w:t>SGV-A-170</w:t>
      </w:r>
      <w:r w:rsidRPr="00F87CD2">
        <w:rPr>
          <w:rFonts w:ascii="Arial" w:eastAsia="Calibri" w:hAnsi="Arial" w:cs="Arial"/>
          <w:bCs/>
          <w:i/>
          <w:iCs/>
          <w:szCs w:val="22"/>
        </w:rPr>
        <w:t xml:space="preserve"> Disposiciones operativas de sociedades administradoras de fondos de inversión,</w:t>
      </w:r>
      <w:r w:rsidRPr="00F87CD2">
        <w:rPr>
          <w:rFonts w:ascii="Arial" w:eastAsia="Calibri" w:hAnsi="Arial" w:cs="Arial"/>
          <w:bCs/>
          <w:szCs w:val="22"/>
        </w:rPr>
        <w:t xml:space="preserve"> para precisar el concepto de la variable de beneficios distribuidos en el periodo, que se lea como sigue:</w:t>
      </w:r>
    </w:p>
    <w:p w14:paraId="03BB862A" w14:textId="77777777" w:rsidR="00F87CD2" w:rsidRPr="00F87CD2" w:rsidRDefault="00F87CD2" w:rsidP="00F87CD2">
      <w:pPr>
        <w:ind w:left="1134"/>
        <w:jc w:val="both"/>
        <w:rPr>
          <w:rFonts w:ascii="Arial" w:eastAsiaTheme="minorHAnsi" w:hAnsi="Arial" w:cs="Arial"/>
          <w:bCs/>
          <w:i/>
          <w:iCs/>
          <w:szCs w:val="22"/>
          <w:lang w:val="es-CR"/>
        </w:rPr>
      </w:pPr>
      <w:r w:rsidRPr="00F87CD2">
        <w:rPr>
          <w:rFonts w:ascii="Arial" w:hAnsi="Arial" w:cs="Arial"/>
          <w:bCs/>
          <w:i/>
          <w:iCs/>
          <w:szCs w:val="22"/>
        </w:rPr>
        <w:t>“Artículo 32. Rendimientos a valor de mercado de los últimos 12 meses</w:t>
      </w:r>
    </w:p>
    <w:p w14:paraId="4C169B20" w14:textId="77777777" w:rsidR="00F87CD2" w:rsidRPr="00F87CD2" w:rsidRDefault="00F87CD2" w:rsidP="00F87CD2">
      <w:pPr>
        <w:ind w:left="1134"/>
        <w:jc w:val="both"/>
        <w:rPr>
          <w:rFonts w:ascii="Arial" w:hAnsi="Arial" w:cs="Arial"/>
          <w:i/>
          <w:iCs/>
          <w:szCs w:val="22"/>
          <w:lang w:val="es-ES_tradnl"/>
        </w:rPr>
      </w:pPr>
      <w:r w:rsidRPr="00F87CD2">
        <w:rPr>
          <w:rFonts w:ascii="Arial" w:hAnsi="Arial" w:cs="Arial"/>
          <w:i/>
          <w:iCs/>
          <w:szCs w:val="22"/>
          <w:lang w:val="es-ES_tradnl"/>
        </w:rPr>
        <w:t>En el caso de fondos cerrados, para el cálculo de los rendimientos totales a valor de mercado de los últimos 12 meses, se deben acatar las siguientes disposiciones:</w:t>
      </w:r>
    </w:p>
    <w:p w14:paraId="1A49F85D" w14:textId="77777777" w:rsidR="00F87CD2" w:rsidRPr="00F87CD2" w:rsidRDefault="00F87CD2" w:rsidP="00F87CD2">
      <w:pPr>
        <w:numPr>
          <w:ilvl w:val="0"/>
          <w:numId w:val="32"/>
        </w:numPr>
        <w:ind w:left="1134" w:firstLine="0"/>
        <w:jc w:val="both"/>
        <w:rPr>
          <w:rFonts w:ascii="Arial" w:hAnsi="Arial" w:cs="Arial"/>
          <w:i/>
          <w:iCs/>
          <w:szCs w:val="22"/>
          <w:lang w:val="es-CR"/>
        </w:rPr>
      </w:pPr>
      <w:r w:rsidRPr="00F87CD2">
        <w:rPr>
          <w:rFonts w:ascii="Arial" w:hAnsi="Arial" w:cs="Arial"/>
          <w:i/>
          <w:iCs/>
          <w:szCs w:val="22"/>
        </w:rPr>
        <w:t>Cálculo del rendimiento a valor de mercado de los últimos 12 meses:</w:t>
      </w:r>
    </w:p>
    <w:p w14:paraId="22C9C42E" w14:textId="77777777" w:rsidR="00F87CD2" w:rsidRPr="00F87CD2" w:rsidRDefault="00F87CD2" w:rsidP="00F87CD2">
      <w:pPr>
        <w:widowControl w:val="0"/>
        <w:tabs>
          <w:tab w:val="left" w:pos="720"/>
        </w:tabs>
        <w:ind w:left="1134"/>
        <w:jc w:val="both"/>
        <w:rPr>
          <w:rFonts w:ascii="Arial" w:hAnsi="Arial" w:cs="Arial"/>
          <w:i/>
          <w:iCs/>
          <w:color w:val="000000"/>
          <w:szCs w:val="22"/>
          <w:lang w:val="es-ES_tradnl"/>
        </w:rPr>
      </w:pPr>
      <w:r w:rsidRPr="00F87CD2">
        <w:rPr>
          <w:rFonts w:ascii="Arial" w:hAnsi="Arial" w:cs="Arial"/>
          <w:i/>
          <w:iCs/>
          <w:color w:val="000000"/>
          <w:szCs w:val="22"/>
          <w:lang w:val="es-ES_tradnl"/>
        </w:rPr>
        <w:t xml:space="preserve">El rendimiento </w:t>
      </w:r>
      <w:r w:rsidRPr="00F87CD2">
        <w:rPr>
          <w:rFonts w:ascii="Arial" w:hAnsi="Arial" w:cs="Arial"/>
          <w:i/>
          <w:iCs/>
          <w:szCs w:val="22"/>
        </w:rPr>
        <w:t xml:space="preserve">a valor de mercado </w:t>
      </w:r>
      <w:r w:rsidRPr="00F87CD2">
        <w:rPr>
          <w:rFonts w:ascii="Arial" w:hAnsi="Arial" w:cs="Arial"/>
          <w:i/>
          <w:iCs/>
          <w:color w:val="000000"/>
          <w:szCs w:val="22"/>
          <w:lang w:val="es-ES_tradnl"/>
        </w:rPr>
        <w:t xml:space="preserve">de los últimos 12 meses del fondo se calcula de la siguiente forma: </w:t>
      </w:r>
    </w:p>
    <w:p w14:paraId="3177DBA0" w14:textId="77777777" w:rsidR="00F87CD2" w:rsidRPr="00F87CD2" w:rsidRDefault="0032775A" w:rsidP="00F87CD2">
      <w:pPr>
        <w:widowControl w:val="0"/>
        <w:tabs>
          <w:tab w:val="left" w:pos="720"/>
        </w:tabs>
        <w:ind w:left="1134"/>
        <w:jc w:val="center"/>
        <w:rPr>
          <w:rFonts w:ascii="Arial" w:hAnsi="Arial" w:cs="Arial"/>
          <w:i/>
          <w:iCs/>
          <w:color w:val="000000"/>
          <w:szCs w:val="22"/>
          <w:lang w:val="es-ES_tradnl"/>
        </w:rPr>
      </w:pPr>
      <m:oMathPara>
        <m:oMath>
          <m:sSub>
            <m:sSubPr>
              <m:ctrlPr>
                <w:rPr>
                  <w:rFonts w:ascii="Cambria Math" w:hAnsi="Cambria Math" w:cs="Arial"/>
                  <w:i/>
                  <w:iCs/>
                  <w:szCs w:val="22"/>
                  <w:lang w:eastAsia="en-US"/>
                </w:rPr>
              </m:ctrlPr>
            </m:sSubPr>
            <m:e>
              <m:r>
                <w:rPr>
                  <w:rFonts w:ascii="Cambria Math" w:hAnsi="Cambria Math" w:cs="Arial"/>
                  <w:szCs w:val="22"/>
                </w:rPr>
                <m:t>RA</m:t>
              </m:r>
            </m:e>
            <m:sub>
              <m:r>
                <w:rPr>
                  <w:rFonts w:ascii="Cambria Math" w:hAnsi="Cambria Math" w:cs="Arial"/>
                  <w:szCs w:val="22"/>
                </w:rPr>
                <m:t>t</m:t>
              </m:r>
            </m:sub>
          </m:sSub>
          <m:r>
            <w:rPr>
              <w:rFonts w:ascii="Cambria Math" w:hAnsi="Cambria Math" w:cs="Arial"/>
              <w:szCs w:val="22"/>
            </w:rPr>
            <m:t>=</m:t>
          </m:r>
          <m:d>
            <m:dPr>
              <m:ctrlPr>
                <w:rPr>
                  <w:rFonts w:ascii="Cambria Math" w:hAnsi="Cambria Math" w:cs="Arial"/>
                  <w:i/>
                  <w:iCs/>
                  <w:szCs w:val="22"/>
                  <w:lang w:eastAsia="en-US"/>
                </w:rPr>
              </m:ctrlPr>
            </m:dPr>
            <m:e>
              <m:d>
                <m:dPr>
                  <m:ctrlPr>
                    <w:rPr>
                      <w:rFonts w:ascii="Cambria Math" w:hAnsi="Cambria Math" w:cs="Arial"/>
                      <w:i/>
                      <w:iCs/>
                      <w:szCs w:val="22"/>
                      <w:lang w:eastAsia="en-US"/>
                    </w:rPr>
                  </m:ctrlPr>
                </m:dPr>
                <m:e>
                  <m:f>
                    <m:fPr>
                      <m:ctrlPr>
                        <w:rPr>
                          <w:rFonts w:ascii="Cambria Math" w:hAnsi="Cambria Math" w:cs="Arial"/>
                          <w:i/>
                          <w:iCs/>
                          <w:szCs w:val="22"/>
                          <w:lang w:eastAsia="en-US"/>
                        </w:rPr>
                      </m:ctrlPr>
                    </m:fPr>
                    <m:num>
                      <m:sSub>
                        <m:sSubPr>
                          <m:ctrlPr>
                            <w:rPr>
                              <w:rFonts w:ascii="Cambria Math" w:hAnsi="Cambria Math" w:cs="Arial"/>
                              <w:i/>
                              <w:iCs/>
                              <w:szCs w:val="22"/>
                              <w:lang w:eastAsia="en-US"/>
                            </w:rPr>
                          </m:ctrlPr>
                        </m:sSubPr>
                        <m:e>
                          <m:r>
                            <w:rPr>
                              <w:rFonts w:ascii="Cambria Math" w:hAnsi="Cambria Math" w:cs="Arial"/>
                              <w:szCs w:val="22"/>
                            </w:rPr>
                            <m:t>VP</m:t>
                          </m:r>
                        </m:e>
                        <m:sub>
                          <m:r>
                            <w:rPr>
                              <w:rFonts w:ascii="Cambria Math" w:hAnsi="Cambria Math" w:cs="Arial"/>
                              <w:szCs w:val="22"/>
                            </w:rPr>
                            <m:t>t</m:t>
                          </m:r>
                        </m:sub>
                      </m:sSub>
                      <m:r>
                        <w:rPr>
                          <w:rFonts w:ascii="Cambria Math" w:hAnsi="Cambria Math" w:cs="Arial"/>
                          <w:szCs w:val="22"/>
                        </w:rPr>
                        <m:t>+B</m:t>
                      </m:r>
                    </m:num>
                    <m:den>
                      <m:sSub>
                        <m:sSubPr>
                          <m:ctrlPr>
                            <w:rPr>
                              <w:rFonts w:ascii="Cambria Math" w:hAnsi="Cambria Math" w:cs="Arial"/>
                              <w:i/>
                              <w:iCs/>
                              <w:szCs w:val="22"/>
                              <w:lang w:eastAsia="en-US"/>
                            </w:rPr>
                          </m:ctrlPr>
                        </m:sSubPr>
                        <m:e>
                          <m:r>
                            <w:rPr>
                              <w:rFonts w:ascii="Cambria Math" w:hAnsi="Cambria Math" w:cs="Arial"/>
                              <w:szCs w:val="22"/>
                            </w:rPr>
                            <m:t>VP</m:t>
                          </m:r>
                        </m:e>
                        <m:sub>
                          <m:r>
                            <w:rPr>
                              <w:rFonts w:ascii="Cambria Math" w:hAnsi="Cambria Math" w:cs="Arial"/>
                              <w:szCs w:val="22"/>
                            </w:rPr>
                            <m:t>t-365</m:t>
                          </m:r>
                        </m:sub>
                      </m:sSub>
                    </m:den>
                  </m:f>
                </m:e>
              </m:d>
              <m:r>
                <w:rPr>
                  <w:rFonts w:ascii="Cambria Math" w:hAnsi="Cambria Math" w:cs="Arial"/>
                  <w:szCs w:val="22"/>
                </w:rPr>
                <m:t>-1</m:t>
              </m:r>
            </m:e>
          </m:d>
        </m:oMath>
      </m:oMathPara>
    </w:p>
    <w:p w14:paraId="5E314477" w14:textId="77777777" w:rsidR="00F87CD2" w:rsidRPr="00F87CD2" w:rsidRDefault="00F87CD2" w:rsidP="00F87CD2">
      <w:pPr>
        <w:widowControl w:val="0"/>
        <w:tabs>
          <w:tab w:val="left" w:pos="720"/>
        </w:tabs>
        <w:ind w:left="1134"/>
        <w:jc w:val="both"/>
        <w:rPr>
          <w:rFonts w:ascii="Arial" w:hAnsi="Arial" w:cs="Arial"/>
          <w:i/>
          <w:iCs/>
          <w:color w:val="000000"/>
          <w:szCs w:val="22"/>
          <w:lang w:val="es-ES_tradnl"/>
        </w:rPr>
      </w:pPr>
      <w:r w:rsidRPr="00F87CD2">
        <w:rPr>
          <w:rFonts w:ascii="Arial" w:hAnsi="Arial" w:cs="Arial"/>
          <w:i/>
          <w:iCs/>
          <w:color w:val="000000"/>
          <w:szCs w:val="22"/>
          <w:lang w:val="es-ES_tradnl"/>
        </w:rPr>
        <w:t>En donde:</w:t>
      </w:r>
    </w:p>
    <w:p w14:paraId="231C840A" w14:textId="77777777" w:rsidR="00F87CD2" w:rsidRPr="00F87CD2" w:rsidRDefault="0032775A" w:rsidP="00F87CD2">
      <w:pPr>
        <w:widowControl w:val="0"/>
        <w:tabs>
          <w:tab w:val="left" w:pos="720"/>
        </w:tabs>
        <w:ind w:left="1134"/>
        <w:jc w:val="both"/>
        <w:rPr>
          <w:rFonts w:ascii="Arial" w:hAnsi="Arial" w:cs="Arial"/>
          <w:i/>
          <w:iCs/>
          <w:color w:val="000000"/>
          <w:szCs w:val="22"/>
          <w:lang w:val="es-ES_tradnl"/>
        </w:rPr>
      </w:pPr>
      <m:oMath>
        <m:sSub>
          <m:sSubPr>
            <m:ctrlPr>
              <w:rPr>
                <w:rFonts w:ascii="Cambria Math" w:hAnsi="Cambria Math" w:cs="Arial"/>
                <w:i/>
                <w:iCs/>
                <w:szCs w:val="22"/>
                <w:lang w:eastAsia="en-US"/>
              </w:rPr>
            </m:ctrlPr>
          </m:sSubPr>
          <m:e>
            <m:r>
              <w:rPr>
                <w:rFonts w:ascii="Cambria Math" w:hAnsi="Cambria Math" w:cs="Arial"/>
                <w:szCs w:val="22"/>
              </w:rPr>
              <m:t>RA</m:t>
            </m:r>
          </m:e>
          <m:sub>
            <m:r>
              <w:rPr>
                <w:rFonts w:ascii="Cambria Math" w:hAnsi="Cambria Math" w:cs="Arial"/>
                <w:szCs w:val="22"/>
              </w:rPr>
              <m:t>t</m:t>
            </m:r>
          </m:sub>
        </m:sSub>
      </m:oMath>
      <w:r w:rsidR="00F87CD2" w:rsidRPr="00F87CD2">
        <w:rPr>
          <w:rFonts w:ascii="Arial" w:hAnsi="Arial" w:cs="Arial"/>
          <w:i/>
          <w:iCs/>
          <w:szCs w:val="22"/>
        </w:rPr>
        <w:t xml:space="preserve">: </w:t>
      </w:r>
      <w:r w:rsidR="00F87CD2" w:rsidRPr="00F87CD2">
        <w:rPr>
          <w:rFonts w:ascii="Arial" w:hAnsi="Arial" w:cs="Arial"/>
          <w:i/>
          <w:iCs/>
          <w:color w:val="000000"/>
          <w:szCs w:val="22"/>
          <w:lang w:val="es-ES_tradnl"/>
        </w:rPr>
        <w:t xml:space="preserve">Rendimiento </w:t>
      </w:r>
      <w:r w:rsidR="00F87CD2" w:rsidRPr="00F87CD2">
        <w:rPr>
          <w:rFonts w:ascii="Arial" w:hAnsi="Arial" w:cs="Arial"/>
          <w:i/>
          <w:iCs/>
          <w:szCs w:val="22"/>
        </w:rPr>
        <w:t xml:space="preserve">a valor de mercado </w:t>
      </w:r>
      <w:r w:rsidR="00F87CD2" w:rsidRPr="00F87CD2">
        <w:rPr>
          <w:rFonts w:ascii="Arial" w:hAnsi="Arial" w:cs="Arial"/>
          <w:i/>
          <w:iCs/>
          <w:color w:val="000000"/>
          <w:szCs w:val="22"/>
          <w:lang w:val="es-ES_tradnl"/>
        </w:rPr>
        <w:t>del fondo para los últimos 12 meses terminados en el día t</w:t>
      </w:r>
    </w:p>
    <w:p w14:paraId="1802424F" w14:textId="77777777" w:rsidR="00F87CD2" w:rsidRPr="00F87CD2" w:rsidRDefault="0032775A" w:rsidP="00F87CD2">
      <w:pPr>
        <w:widowControl w:val="0"/>
        <w:tabs>
          <w:tab w:val="left" w:pos="720"/>
        </w:tabs>
        <w:ind w:left="1134"/>
        <w:jc w:val="both"/>
        <w:rPr>
          <w:rFonts w:ascii="Arial" w:hAnsi="Arial" w:cs="Arial"/>
          <w:i/>
          <w:iCs/>
          <w:color w:val="000000"/>
          <w:szCs w:val="22"/>
          <w:lang w:val="es-ES_tradnl"/>
        </w:rPr>
      </w:pPr>
      <m:oMath>
        <m:sSub>
          <m:sSubPr>
            <m:ctrlPr>
              <w:rPr>
                <w:rFonts w:ascii="Cambria Math" w:hAnsi="Cambria Math" w:cs="Arial"/>
                <w:i/>
                <w:iCs/>
                <w:szCs w:val="22"/>
                <w:lang w:eastAsia="en-US"/>
              </w:rPr>
            </m:ctrlPr>
          </m:sSubPr>
          <m:e>
            <m:r>
              <w:rPr>
                <w:rFonts w:ascii="Cambria Math" w:hAnsi="Cambria Math" w:cs="Arial"/>
                <w:szCs w:val="22"/>
              </w:rPr>
              <m:t>VP</m:t>
            </m:r>
          </m:e>
          <m:sub>
            <m:r>
              <w:rPr>
                <w:rFonts w:ascii="Cambria Math" w:hAnsi="Cambria Math" w:cs="Arial"/>
                <w:szCs w:val="22"/>
              </w:rPr>
              <m:t>t</m:t>
            </m:r>
          </m:sub>
        </m:sSub>
      </m:oMath>
      <w:r w:rsidR="00F87CD2" w:rsidRPr="00F87CD2">
        <w:rPr>
          <w:rFonts w:ascii="Arial" w:hAnsi="Arial" w:cs="Arial"/>
          <w:i/>
          <w:iCs/>
          <w:szCs w:val="22"/>
        </w:rPr>
        <w:t xml:space="preserve">:  </w:t>
      </w:r>
      <w:r w:rsidR="00F87CD2" w:rsidRPr="00F87CD2">
        <w:rPr>
          <w:rFonts w:ascii="Arial" w:hAnsi="Arial" w:cs="Arial"/>
          <w:i/>
          <w:iCs/>
          <w:color w:val="000000"/>
          <w:szCs w:val="22"/>
          <w:lang w:val="es-ES_tradnl"/>
        </w:rPr>
        <w:t>Precio de mercado del fondo suministrado según la metodología de valoración seleccionada por la sociedad administradora de fondos de inversión al cierre del día t.</w:t>
      </w:r>
    </w:p>
    <w:p w14:paraId="29B69FE6" w14:textId="77777777" w:rsidR="00F87CD2" w:rsidRPr="00F87CD2" w:rsidRDefault="00F87CD2" w:rsidP="00F87CD2">
      <w:pPr>
        <w:widowControl w:val="0"/>
        <w:tabs>
          <w:tab w:val="left" w:pos="720"/>
        </w:tabs>
        <w:ind w:left="1134"/>
        <w:jc w:val="both"/>
        <w:rPr>
          <w:rFonts w:ascii="Arial" w:eastAsiaTheme="minorHAnsi" w:hAnsi="Arial" w:cs="Arial"/>
          <w:b/>
          <w:bCs/>
          <w:i/>
          <w:iCs/>
          <w:szCs w:val="22"/>
          <w:lang w:eastAsia="en-US"/>
        </w:rPr>
      </w:pPr>
      <m:oMath>
        <m:r>
          <m:rPr>
            <m:sty m:val="bi"/>
          </m:rPr>
          <w:rPr>
            <w:rFonts w:ascii="Cambria Math" w:hAnsi="Cambria Math" w:cs="Arial"/>
            <w:szCs w:val="22"/>
          </w:rPr>
          <m:t>B</m:t>
        </m:r>
      </m:oMath>
      <w:r w:rsidRPr="00F87CD2">
        <w:rPr>
          <w:rFonts w:ascii="Arial" w:hAnsi="Arial" w:cs="Arial"/>
          <w:b/>
          <w:bCs/>
          <w:i/>
          <w:iCs/>
          <w:szCs w:val="22"/>
        </w:rPr>
        <w:t xml:space="preserve">: </w:t>
      </w:r>
      <w:r w:rsidRPr="00F87CD2">
        <w:rPr>
          <w:rFonts w:ascii="Arial" w:hAnsi="Arial" w:cs="Arial"/>
          <w:b/>
          <w:bCs/>
          <w:i/>
          <w:iCs/>
          <w:color w:val="000000"/>
          <w:szCs w:val="22"/>
          <w:lang w:val="es-ES_tradnl"/>
        </w:rPr>
        <w:t>Beneficios distribuidos durante el período.</w:t>
      </w:r>
      <w:r w:rsidRPr="00F87CD2">
        <w:rPr>
          <w:rFonts w:ascii="Arial" w:hAnsi="Arial" w:cs="Arial"/>
          <w:b/>
          <w:bCs/>
          <w:i/>
          <w:iCs/>
          <w:szCs w:val="22"/>
          <w:lang w:val="es-ES_tradnl"/>
        </w:rPr>
        <w:t xml:space="preserve"> </w:t>
      </w:r>
    </w:p>
    <w:p w14:paraId="5E21142B" w14:textId="77777777" w:rsidR="00F87CD2" w:rsidRPr="00F87CD2" w:rsidRDefault="00F87CD2" w:rsidP="00F87CD2">
      <w:pPr>
        <w:widowControl w:val="0"/>
        <w:tabs>
          <w:tab w:val="left" w:pos="720"/>
        </w:tabs>
        <w:ind w:left="1134"/>
        <w:rPr>
          <w:rFonts w:ascii="Arial" w:hAnsi="Arial" w:cs="Arial"/>
          <w:i/>
          <w:iCs/>
          <w:color w:val="000000"/>
          <w:szCs w:val="22"/>
          <w:lang w:val="es-ES_tradnl"/>
        </w:rPr>
      </w:pPr>
      <w:r w:rsidRPr="00F87CD2">
        <w:rPr>
          <w:rFonts w:ascii="Arial" w:hAnsi="Arial" w:cs="Arial"/>
          <w:i/>
          <w:iCs/>
          <w:szCs w:val="22"/>
        </w:rPr>
        <w:t>(…</w:t>
      </w:r>
      <w:r w:rsidRPr="00F87CD2">
        <w:rPr>
          <w:rFonts w:ascii="Arial" w:hAnsi="Arial" w:cs="Arial"/>
          <w:i/>
          <w:iCs/>
          <w:color w:val="000000"/>
          <w:szCs w:val="22"/>
          <w:lang w:val="es-ES_tradnl"/>
        </w:rPr>
        <w:t>)”</w:t>
      </w:r>
    </w:p>
    <w:p w14:paraId="360F98C1" w14:textId="77777777" w:rsidR="00F87CD2" w:rsidRPr="00F87CD2" w:rsidRDefault="00F87CD2" w:rsidP="00F87CD2">
      <w:pPr>
        <w:pStyle w:val="Prrafodelista"/>
        <w:ind w:left="1211"/>
        <w:jc w:val="both"/>
        <w:rPr>
          <w:rFonts w:ascii="Arial" w:eastAsia="Calibri" w:hAnsi="Arial" w:cs="Arial"/>
          <w:bCs/>
          <w:szCs w:val="22"/>
          <w:lang w:eastAsia="en-US"/>
        </w:rPr>
      </w:pPr>
    </w:p>
    <w:p w14:paraId="0F63E382" w14:textId="77777777" w:rsidR="00F87CD2" w:rsidRPr="00F87CD2" w:rsidRDefault="00F87CD2" w:rsidP="00F87CD2">
      <w:pPr>
        <w:pStyle w:val="Prrafodelista"/>
        <w:numPr>
          <w:ilvl w:val="0"/>
          <w:numId w:val="30"/>
        </w:numPr>
        <w:spacing w:after="160" w:line="256" w:lineRule="auto"/>
        <w:ind w:left="567" w:hanging="567"/>
        <w:jc w:val="both"/>
        <w:rPr>
          <w:rFonts w:ascii="Arial" w:eastAsia="Calibri" w:hAnsi="Arial" w:cs="Arial"/>
          <w:bCs/>
          <w:szCs w:val="22"/>
        </w:rPr>
      </w:pPr>
      <w:r w:rsidRPr="00F87CD2">
        <w:rPr>
          <w:rFonts w:ascii="Arial" w:eastAsia="Calibri" w:hAnsi="Arial" w:cs="Arial"/>
          <w:bCs/>
          <w:szCs w:val="22"/>
        </w:rPr>
        <w:t xml:space="preserve">Se incluye el inciso v. al artículo 13 del Acuerdo </w:t>
      </w:r>
      <w:r w:rsidRPr="00F87CD2">
        <w:rPr>
          <w:rFonts w:ascii="Arial" w:eastAsia="Calibri" w:hAnsi="Arial" w:cs="Arial"/>
          <w:b/>
          <w:color w:val="000000"/>
          <w:szCs w:val="22"/>
        </w:rPr>
        <w:t>SGV-A-188</w:t>
      </w:r>
      <w:r w:rsidRPr="00F87CD2">
        <w:rPr>
          <w:rFonts w:ascii="Arial" w:eastAsia="Calibri" w:hAnsi="Arial" w:cs="Arial"/>
          <w:bCs/>
          <w:i/>
          <w:iCs/>
          <w:szCs w:val="22"/>
        </w:rPr>
        <w:t xml:space="preserve"> Directriz para la Implementación del Sistema de Mensajería de Documentos Electrónicos (MENDOCEL),</w:t>
      </w:r>
      <w:r w:rsidRPr="00F87CD2">
        <w:rPr>
          <w:rFonts w:ascii="Arial" w:eastAsia="Calibri" w:hAnsi="Arial" w:cs="Arial"/>
          <w:bCs/>
          <w:szCs w:val="22"/>
        </w:rPr>
        <w:t xml:space="preserve"> para que se lea como sigue:</w:t>
      </w:r>
    </w:p>
    <w:p w14:paraId="061B98F8" w14:textId="77777777" w:rsidR="00F87CD2" w:rsidRPr="00F87CD2" w:rsidRDefault="00F87CD2" w:rsidP="00F87CD2">
      <w:pPr>
        <w:tabs>
          <w:tab w:val="center" w:pos="4419"/>
        </w:tabs>
        <w:ind w:left="1211"/>
        <w:rPr>
          <w:rFonts w:ascii="Arial" w:eastAsia="Calibri" w:hAnsi="Arial" w:cs="Arial"/>
          <w:bCs/>
          <w:i/>
          <w:iCs/>
          <w:szCs w:val="22"/>
        </w:rPr>
      </w:pPr>
      <w:r w:rsidRPr="00F87CD2">
        <w:rPr>
          <w:rFonts w:ascii="Arial" w:eastAsia="Calibri" w:hAnsi="Arial" w:cs="Arial"/>
          <w:bCs/>
          <w:i/>
          <w:iCs/>
          <w:szCs w:val="22"/>
        </w:rPr>
        <w:lastRenderedPageBreak/>
        <w:t xml:space="preserve">“Artículo 13.  Documentos excluidos del MENDOCEL por contar ya con medios digitales de envío </w:t>
      </w:r>
    </w:p>
    <w:p w14:paraId="6BC8120C" w14:textId="77777777" w:rsidR="00F87CD2" w:rsidRPr="00F87CD2" w:rsidRDefault="00F87CD2" w:rsidP="00F87CD2">
      <w:pPr>
        <w:tabs>
          <w:tab w:val="center" w:pos="4419"/>
        </w:tabs>
        <w:ind w:left="1276"/>
        <w:rPr>
          <w:rFonts w:ascii="Arial" w:eastAsia="Calibri" w:hAnsi="Arial" w:cs="Arial"/>
          <w:bCs/>
          <w:i/>
          <w:iCs/>
          <w:szCs w:val="22"/>
        </w:rPr>
      </w:pPr>
      <w:r w:rsidRPr="00F87CD2">
        <w:rPr>
          <w:rFonts w:ascii="Arial" w:eastAsia="Calibri" w:hAnsi="Arial" w:cs="Arial"/>
          <w:bCs/>
          <w:i/>
          <w:iCs/>
          <w:szCs w:val="22"/>
        </w:rPr>
        <w:t>(…)</w:t>
      </w:r>
    </w:p>
    <w:p w14:paraId="756939C9" w14:textId="77777777" w:rsidR="00F87CD2" w:rsidRPr="00F87CD2" w:rsidRDefault="00F87CD2" w:rsidP="00F87CD2">
      <w:pPr>
        <w:tabs>
          <w:tab w:val="center" w:pos="4419"/>
        </w:tabs>
        <w:ind w:left="1276"/>
        <w:rPr>
          <w:rFonts w:ascii="Arial" w:eastAsia="Calibri" w:hAnsi="Arial" w:cs="Arial"/>
          <w:bCs/>
          <w:i/>
          <w:iCs/>
          <w:szCs w:val="22"/>
        </w:rPr>
      </w:pPr>
      <w:r w:rsidRPr="00F87CD2">
        <w:rPr>
          <w:rFonts w:ascii="Arial" w:eastAsia="Calibri" w:hAnsi="Arial" w:cs="Arial"/>
          <w:bCs/>
          <w:i/>
          <w:iCs/>
          <w:szCs w:val="22"/>
        </w:rPr>
        <w:t xml:space="preserve"> v.</w:t>
      </w:r>
      <w:r w:rsidRPr="00F87CD2">
        <w:rPr>
          <w:rFonts w:ascii="Arial" w:eastAsia="Calibri" w:hAnsi="Arial" w:cs="Arial"/>
          <w:bCs/>
          <w:i/>
          <w:iCs/>
          <w:szCs w:val="22"/>
        </w:rPr>
        <w:tab/>
        <w:t>Lo referente a la información inmobiliaria por medio del sistema Autogestión de información Inmobiliaria (AIM).</w:t>
      </w:r>
    </w:p>
    <w:p w14:paraId="60DAD5B8" w14:textId="77777777" w:rsidR="00F87CD2" w:rsidRPr="00F87CD2" w:rsidRDefault="00F87CD2" w:rsidP="00F87CD2">
      <w:pPr>
        <w:tabs>
          <w:tab w:val="center" w:pos="4419"/>
        </w:tabs>
        <w:ind w:left="1276"/>
        <w:rPr>
          <w:rFonts w:ascii="Arial" w:eastAsia="Calibri" w:hAnsi="Arial" w:cs="Arial"/>
          <w:bCs/>
          <w:i/>
          <w:iCs/>
          <w:szCs w:val="22"/>
        </w:rPr>
      </w:pPr>
      <w:r w:rsidRPr="00F87CD2">
        <w:rPr>
          <w:rFonts w:ascii="Arial" w:eastAsia="Calibri" w:hAnsi="Arial" w:cs="Arial"/>
          <w:bCs/>
          <w:i/>
          <w:iCs/>
          <w:szCs w:val="22"/>
        </w:rPr>
        <w:t>(…)”</w:t>
      </w:r>
    </w:p>
    <w:p w14:paraId="4645DDDE" w14:textId="77777777" w:rsidR="00F87CD2" w:rsidRPr="00F87CD2" w:rsidRDefault="00F87CD2" w:rsidP="00F87CD2">
      <w:pPr>
        <w:pStyle w:val="Prrafodelista"/>
        <w:numPr>
          <w:ilvl w:val="0"/>
          <w:numId w:val="30"/>
        </w:numPr>
        <w:spacing w:after="160" w:line="256" w:lineRule="auto"/>
        <w:ind w:left="567" w:hanging="567"/>
        <w:jc w:val="both"/>
        <w:rPr>
          <w:rFonts w:ascii="Arial" w:hAnsi="Arial" w:cs="Arial"/>
          <w:szCs w:val="22"/>
          <w:lang w:val="es-CR"/>
        </w:rPr>
      </w:pPr>
      <w:r w:rsidRPr="00F87CD2">
        <w:rPr>
          <w:rFonts w:ascii="Arial" w:hAnsi="Arial" w:cs="Arial"/>
          <w:bCs/>
          <w:szCs w:val="22"/>
          <w:lang w:val="es-CR"/>
        </w:rPr>
        <w:t xml:space="preserve">Se modifica el artículo 6 del acuerdo </w:t>
      </w:r>
      <w:r w:rsidRPr="00F87CD2">
        <w:rPr>
          <w:rFonts w:ascii="Arial" w:hAnsi="Arial" w:cs="Arial"/>
          <w:b/>
          <w:szCs w:val="22"/>
          <w:lang w:val="es-CR"/>
        </w:rPr>
        <w:t>SGV-A-257</w:t>
      </w:r>
      <w:r w:rsidRPr="00F87CD2">
        <w:rPr>
          <w:rFonts w:ascii="Arial" w:hAnsi="Arial" w:cs="Arial"/>
          <w:bCs/>
          <w:szCs w:val="22"/>
          <w:lang w:val="es-CR"/>
        </w:rPr>
        <w:t xml:space="preserve">. </w:t>
      </w:r>
      <w:r w:rsidRPr="00F87CD2">
        <w:rPr>
          <w:rFonts w:ascii="Arial" w:hAnsi="Arial" w:cs="Arial"/>
          <w:bCs/>
          <w:i/>
          <w:iCs/>
          <w:szCs w:val="22"/>
          <w:lang w:val="es-CR"/>
        </w:rPr>
        <w:t>Información Básica de las Entidades Reguladas</w:t>
      </w:r>
      <w:r w:rsidRPr="00F87CD2">
        <w:rPr>
          <w:rFonts w:ascii="Arial" w:hAnsi="Arial" w:cs="Arial"/>
          <w:bCs/>
          <w:szCs w:val="22"/>
          <w:lang w:val="es-CR"/>
        </w:rPr>
        <w:t xml:space="preserve"> y Supervisadas por la Superintendencia General de Valores </w:t>
      </w:r>
      <w:r w:rsidRPr="00F87CD2">
        <w:rPr>
          <w:rFonts w:ascii="Arial" w:hAnsi="Arial" w:cs="Arial"/>
          <w:szCs w:val="22"/>
          <w:lang w:val="es-CR"/>
        </w:rPr>
        <w:t xml:space="preserve">de acuerdo con lo siguiente: </w:t>
      </w:r>
    </w:p>
    <w:p w14:paraId="015D6851" w14:textId="77777777" w:rsidR="00F87CD2" w:rsidRPr="00F87CD2" w:rsidRDefault="00F87CD2" w:rsidP="00F87CD2">
      <w:pPr>
        <w:pStyle w:val="Prrafodelista"/>
        <w:ind w:left="1211"/>
        <w:jc w:val="both"/>
        <w:rPr>
          <w:rFonts w:ascii="Arial" w:hAnsi="Arial" w:cs="Arial"/>
          <w:szCs w:val="22"/>
          <w:lang w:val="es-CR"/>
        </w:rPr>
      </w:pPr>
    </w:p>
    <w:p w14:paraId="777796A8" w14:textId="77777777" w:rsidR="00F87CD2" w:rsidRPr="00F87CD2" w:rsidRDefault="00F87CD2" w:rsidP="00F87CD2">
      <w:pPr>
        <w:pStyle w:val="Prrafodelista"/>
        <w:numPr>
          <w:ilvl w:val="0"/>
          <w:numId w:val="34"/>
        </w:numPr>
        <w:spacing w:after="160" w:line="256" w:lineRule="auto"/>
        <w:jc w:val="both"/>
        <w:rPr>
          <w:rFonts w:ascii="Arial" w:hAnsi="Arial" w:cs="Arial"/>
          <w:bCs/>
          <w:color w:val="000000"/>
          <w:szCs w:val="22"/>
          <w:lang w:val="es-CR"/>
        </w:rPr>
      </w:pPr>
      <w:r w:rsidRPr="00F87CD2">
        <w:rPr>
          <w:rFonts w:ascii="Arial" w:eastAsia="Cambria" w:hAnsi="Arial" w:cs="Arial"/>
          <w:szCs w:val="22"/>
          <w:lang w:val="es-CR"/>
        </w:rPr>
        <w:t xml:space="preserve">Incluir el rol del Consejo de Calificación para la remisión de información. </w:t>
      </w:r>
    </w:p>
    <w:p w14:paraId="41DBA3D1" w14:textId="77777777" w:rsidR="00F87CD2" w:rsidRPr="00F87CD2" w:rsidRDefault="00F87CD2" w:rsidP="00F87CD2">
      <w:pPr>
        <w:pStyle w:val="Prrafodelista"/>
        <w:numPr>
          <w:ilvl w:val="0"/>
          <w:numId w:val="34"/>
        </w:numPr>
        <w:spacing w:after="160" w:line="256" w:lineRule="auto"/>
        <w:jc w:val="both"/>
        <w:rPr>
          <w:rFonts w:ascii="Arial" w:eastAsia="Cambria" w:hAnsi="Arial" w:cs="Arial"/>
          <w:szCs w:val="22"/>
          <w:lang w:val="es-CR" w:eastAsia="en-US"/>
        </w:rPr>
      </w:pPr>
      <w:r w:rsidRPr="00F87CD2">
        <w:rPr>
          <w:rFonts w:ascii="Arial" w:eastAsia="Cambria" w:hAnsi="Arial" w:cs="Arial"/>
          <w:szCs w:val="22"/>
          <w:lang w:val="es-CR"/>
        </w:rPr>
        <w:t>Eliminar los Antecedentes disciplinarios y judiciales del Rol de Estructura de Capital.</w:t>
      </w:r>
    </w:p>
    <w:p w14:paraId="222866D0" w14:textId="77777777" w:rsidR="00F87CD2" w:rsidRPr="00F87CD2" w:rsidRDefault="00F87CD2" w:rsidP="00F87CD2">
      <w:pPr>
        <w:pStyle w:val="Prrafodelista"/>
        <w:numPr>
          <w:ilvl w:val="0"/>
          <w:numId w:val="34"/>
        </w:numPr>
        <w:spacing w:after="160" w:line="256" w:lineRule="auto"/>
        <w:jc w:val="both"/>
        <w:rPr>
          <w:rFonts w:ascii="Arial" w:eastAsia="Cambria" w:hAnsi="Arial" w:cs="Arial"/>
          <w:szCs w:val="22"/>
          <w:lang w:val="es-CR"/>
        </w:rPr>
      </w:pPr>
      <w:r w:rsidRPr="00F87CD2">
        <w:rPr>
          <w:rFonts w:ascii="Arial" w:eastAsia="Cambria" w:hAnsi="Arial" w:cs="Arial"/>
          <w:szCs w:val="22"/>
          <w:lang w:val="es-CR"/>
        </w:rPr>
        <w:t>Eliminar el Rol del Fiscal del respectivo cuadro.</w:t>
      </w:r>
    </w:p>
    <w:p w14:paraId="02FD03E5" w14:textId="77777777" w:rsidR="00F87CD2" w:rsidRPr="00F87CD2" w:rsidRDefault="00F87CD2" w:rsidP="00F87CD2">
      <w:pPr>
        <w:pStyle w:val="Prrafodelista"/>
        <w:ind w:left="1776"/>
        <w:jc w:val="both"/>
        <w:rPr>
          <w:rFonts w:ascii="Arial" w:eastAsia="Cambria" w:hAnsi="Arial" w:cs="Arial"/>
          <w:szCs w:val="22"/>
          <w:lang w:val="es-CR"/>
        </w:rPr>
      </w:pPr>
    </w:p>
    <w:p w14:paraId="3F8B22DC" w14:textId="77777777" w:rsidR="00F87CD2" w:rsidRPr="00F87CD2" w:rsidRDefault="00F87CD2" w:rsidP="00F87CD2">
      <w:pPr>
        <w:ind w:left="503" w:firstLine="708"/>
        <w:jc w:val="both"/>
        <w:rPr>
          <w:rFonts w:ascii="Arial" w:eastAsia="Cambria" w:hAnsi="Arial" w:cs="Arial"/>
          <w:szCs w:val="22"/>
          <w:lang w:val="es-CR"/>
        </w:rPr>
      </w:pPr>
      <w:r w:rsidRPr="00F87CD2">
        <w:rPr>
          <w:rFonts w:ascii="Arial" w:eastAsia="Cambria" w:hAnsi="Arial" w:cs="Arial"/>
          <w:szCs w:val="22"/>
          <w:lang w:val="es-CR"/>
        </w:rPr>
        <w:t>De manera que el cuadro se lea de la siguiente manera:</w:t>
      </w:r>
    </w:p>
    <w:p w14:paraId="57C53461" w14:textId="77777777" w:rsidR="00F87CD2" w:rsidRPr="00F87CD2" w:rsidRDefault="00F87CD2" w:rsidP="00F87CD2">
      <w:pPr>
        <w:pStyle w:val="Prrafodelista"/>
        <w:ind w:left="1211"/>
        <w:jc w:val="both"/>
        <w:rPr>
          <w:rFonts w:ascii="Arial" w:hAnsi="Arial" w:cs="Arial"/>
          <w:szCs w:val="22"/>
          <w:lang w:val="es-CR"/>
        </w:rPr>
      </w:pPr>
    </w:p>
    <w:p w14:paraId="437751A4" w14:textId="77777777" w:rsidR="00F87CD2" w:rsidRPr="00F87CD2" w:rsidRDefault="00F87CD2" w:rsidP="00F87CD2">
      <w:pPr>
        <w:pStyle w:val="Prrafodelista"/>
        <w:ind w:left="1211"/>
        <w:jc w:val="both"/>
        <w:rPr>
          <w:rFonts w:ascii="Arial" w:hAnsi="Arial" w:cs="Arial"/>
          <w:bCs/>
          <w:i/>
          <w:iCs/>
          <w:color w:val="000000"/>
          <w:szCs w:val="22"/>
          <w:lang w:val="es-CR"/>
        </w:rPr>
      </w:pPr>
      <w:r w:rsidRPr="00F87CD2">
        <w:rPr>
          <w:rFonts w:ascii="Arial" w:hAnsi="Arial" w:cs="Arial"/>
          <w:bCs/>
          <w:i/>
          <w:iCs/>
          <w:color w:val="000000"/>
          <w:szCs w:val="22"/>
          <w:lang w:val="es-CR"/>
        </w:rPr>
        <w:t xml:space="preserve">“Artículo 6. Declaraciones </w:t>
      </w:r>
    </w:p>
    <w:p w14:paraId="5383E9B4" w14:textId="77777777" w:rsidR="00F87CD2" w:rsidRPr="00F87CD2" w:rsidRDefault="00F87CD2" w:rsidP="00F87CD2">
      <w:pPr>
        <w:pStyle w:val="Prrafodelista"/>
        <w:ind w:left="1211"/>
        <w:jc w:val="both"/>
        <w:rPr>
          <w:rFonts w:ascii="Arial" w:hAnsi="Arial" w:cs="Arial"/>
          <w:bCs/>
          <w:i/>
          <w:iCs/>
          <w:color w:val="000000"/>
          <w:szCs w:val="22"/>
          <w:lang w:val="es-CR"/>
        </w:rPr>
      </w:pPr>
    </w:p>
    <w:p w14:paraId="06A9722A" w14:textId="77777777" w:rsidR="00F87CD2" w:rsidRPr="00F87CD2" w:rsidRDefault="00F87CD2" w:rsidP="00F87CD2">
      <w:pPr>
        <w:tabs>
          <w:tab w:val="center" w:pos="4419"/>
        </w:tabs>
        <w:ind w:left="1276"/>
        <w:rPr>
          <w:rFonts w:ascii="Arial" w:eastAsia="Calibri" w:hAnsi="Arial" w:cs="Arial"/>
          <w:bCs/>
          <w:i/>
          <w:iCs/>
          <w:szCs w:val="22"/>
          <w:lang w:eastAsia="en-US"/>
        </w:rPr>
      </w:pPr>
      <w:r w:rsidRPr="00F87CD2">
        <w:rPr>
          <w:rFonts w:ascii="Arial" w:eastAsia="Calibri" w:hAnsi="Arial" w:cs="Arial"/>
          <w:bCs/>
          <w:i/>
          <w:iCs/>
          <w:szCs w:val="22"/>
        </w:rPr>
        <w:t>(…)</w:t>
      </w:r>
    </w:p>
    <w:tbl>
      <w:tblPr>
        <w:tblStyle w:val="Tablaconcuadrcula11"/>
        <w:tblW w:w="9351" w:type="dxa"/>
        <w:tblInd w:w="0" w:type="dxa"/>
        <w:tblLook w:val="04A0" w:firstRow="1" w:lastRow="0" w:firstColumn="1" w:lastColumn="0" w:noHBand="0" w:noVBand="1"/>
      </w:tblPr>
      <w:tblGrid>
        <w:gridCol w:w="2574"/>
        <w:gridCol w:w="1679"/>
        <w:gridCol w:w="1789"/>
        <w:gridCol w:w="1520"/>
        <w:gridCol w:w="1789"/>
      </w:tblGrid>
      <w:tr w:rsidR="00F87CD2" w:rsidRPr="00F87CD2" w14:paraId="0D25E980" w14:textId="77777777" w:rsidTr="00F87CD2">
        <w:tc>
          <w:tcPr>
            <w:tcW w:w="2687" w:type="dxa"/>
            <w:tcBorders>
              <w:top w:val="single" w:sz="4" w:space="0" w:color="auto"/>
              <w:left w:val="single" w:sz="4" w:space="0" w:color="auto"/>
              <w:bottom w:val="single" w:sz="4" w:space="0" w:color="auto"/>
              <w:right w:val="single" w:sz="4" w:space="0" w:color="auto"/>
            </w:tcBorders>
            <w:vAlign w:val="center"/>
            <w:hideMark/>
          </w:tcPr>
          <w:p w14:paraId="2D8D6B95" w14:textId="77777777" w:rsidR="00F87CD2" w:rsidRPr="00F87CD2" w:rsidRDefault="00F87CD2">
            <w:pPr>
              <w:widowControl w:val="0"/>
              <w:autoSpaceDE w:val="0"/>
              <w:autoSpaceDN w:val="0"/>
              <w:spacing w:after="120" w:line="252" w:lineRule="auto"/>
              <w:ind w:right="130"/>
              <w:jc w:val="center"/>
              <w:rPr>
                <w:rFonts w:ascii="Arial" w:eastAsia="Cambria" w:hAnsi="Arial" w:cs="Arial"/>
                <w:b/>
                <w:bCs/>
                <w:i/>
                <w:iCs/>
                <w:szCs w:val="22"/>
                <w:lang w:val="en-US"/>
              </w:rPr>
            </w:pPr>
            <w:proofErr w:type="spellStart"/>
            <w:r w:rsidRPr="00F87CD2">
              <w:rPr>
                <w:rFonts w:ascii="Arial" w:hAnsi="Arial" w:cs="Arial"/>
                <w:b/>
                <w:bCs/>
                <w:i/>
                <w:iCs/>
                <w:szCs w:val="22"/>
                <w:lang w:val="en-US"/>
              </w:rPr>
              <w:t>Rol</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565010E" w14:textId="77777777" w:rsidR="00F87CD2" w:rsidRPr="00F87CD2" w:rsidRDefault="00F87CD2">
            <w:pPr>
              <w:widowControl w:val="0"/>
              <w:autoSpaceDE w:val="0"/>
              <w:autoSpaceDN w:val="0"/>
              <w:spacing w:after="120" w:line="252" w:lineRule="auto"/>
              <w:ind w:right="130"/>
              <w:jc w:val="center"/>
              <w:rPr>
                <w:rFonts w:ascii="Arial" w:eastAsia="Calibri" w:hAnsi="Arial" w:cs="Arial"/>
                <w:b/>
                <w:bCs/>
                <w:i/>
                <w:iCs/>
                <w:szCs w:val="22"/>
                <w:lang w:val="en-US"/>
              </w:rPr>
            </w:pPr>
            <w:proofErr w:type="spellStart"/>
            <w:r w:rsidRPr="00F87CD2">
              <w:rPr>
                <w:rFonts w:ascii="Arial" w:hAnsi="Arial" w:cs="Arial"/>
                <w:b/>
                <w:bCs/>
                <w:i/>
                <w:iCs/>
                <w:szCs w:val="22"/>
                <w:lang w:val="en-US"/>
              </w:rPr>
              <w:t>Formación</w:t>
            </w:r>
            <w:proofErr w:type="spellEnd"/>
            <w:r w:rsidRPr="00F87CD2">
              <w:rPr>
                <w:rFonts w:ascii="Arial" w:hAnsi="Arial" w:cs="Arial"/>
                <w:b/>
                <w:bCs/>
                <w:i/>
                <w:iCs/>
                <w:szCs w:val="22"/>
                <w:lang w:val="en-US"/>
              </w:rPr>
              <w:t xml:space="preserve"> </w:t>
            </w:r>
            <w:proofErr w:type="spellStart"/>
            <w:r w:rsidRPr="00F87CD2">
              <w:rPr>
                <w:rFonts w:ascii="Arial" w:hAnsi="Arial" w:cs="Arial"/>
                <w:b/>
                <w:bCs/>
                <w:i/>
                <w:iCs/>
                <w:szCs w:val="22"/>
                <w:lang w:val="en-US"/>
              </w:rPr>
              <w:t>Académica</w:t>
            </w:r>
            <w:proofErr w:type="spellEnd"/>
          </w:p>
        </w:tc>
        <w:tc>
          <w:tcPr>
            <w:tcW w:w="1704" w:type="dxa"/>
            <w:tcBorders>
              <w:top w:val="single" w:sz="4" w:space="0" w:color="auto"/>
              <w:left w:val="single" w:sz="4" w:space="0" w:color="auto"/>
              <w:bottom w:val="single" w:sz="4" w:space="0" w:color="auto"/>
              <w:right w:val="single" w:sz="4" w:space="0" w:color="auto"/>
            </w:tcBorders>
            <w:vAlign w:val="center"/>
            <w:hideMark/>
          </w:tcPr>
          <w:p w14:paraId="2EE64C54" w14:textId="77777777" w:rsidR="00F87CD2" w:rsidRPr="00F87CD2" w:rsidRDefault="00F87CD2">
            <w:pPr>
              <w:widowControl w:val="0"/>
              <w:autoSpaceDE w:val="0"/>
              <w:autoSpaceDN w:val="0"/>
              <w:spacing w:after="120" w:line="252" w:lineRule="auto"/>
              <w:ind w:right="130"/>
              <w:jc w:val="center"/>
              <w:rPr>
                <w:rFonts w:ascii="Arial" w:hAnsi="Arial" w:cs="Arial"/>
                <w:b/>
                <w:bCs/>
                <w:i/>
                <w:iCs/>
                <w:szCs w:val="22"/>
                <w:lang w:val="en-US"/>
              </w:rPr>
            </w:pPr>
            <w:proofErr w:type="spellStart"/>
            <w:r w:rsidRPr="00F87CD2">
              <w:rPr>
                <w:rFonts w:ascii="Arial" w:hAnsi="Arial" w:cs="Arial"/>
                <w:b/>
                <w:bCs/>
                <w:i/>
                <w:iCs/>
                <w:szCs w:val="22"/>
                <w:lang w:val="en-US"/>
              </w:rPr>
              <w:t>Formación</w:t>
            </w:r>
            <w:proofErr w:type="spellEnd"/>
            <w:r w:rsidRPr="00F87CD2">
              <w:rPr>
                <w:rFonts w:ascii="Arial" w:hAnsi="Arial" w:cs="Arial"/>
                <w:b/>
                <w:bCs/>
                <w:i/>
                <w:iCs/>
                <w:szCs w:val="22"/>
                <w:lang w:val="en-US"/>
              </w:rPr>
              <w:t xml:space="preserve"> </w:t>
            </w:r>
            <w:proofErr w:type="spellStart"/>
            <w:r w:rsidRPr="00F87CD2">
              <w:rPr>
                <w:rFonts w:ascii="Arial" w:hAnsi="Arial" w:cs="Arial"/>
                <w:b/>
                <w:bCs/>
                <w:i/>
                <w:iCs/>
                <w:szCs w:val="22"/>
                <w:lang w:val="en-US"/>
              </w:rPr>
              <w:t>Especializada</w:t>
            </w:r>
            <w:proofErr w:type="spellEnd"/>
          </w:p>
        </w:tc>
        <w:tc>
          <w:tcPr>
            <w:tcW w:w="1558" w:type="dxa"/>
            <w:tcBorders>
              <w:top w:val="single" w:sz="4" w:space="0" w:color="auto"/>
              <w:left w:val="single" w:sz="4" w:space="0" w:color="auto"/>
              <w:bottom w:val="single" w:sz="4" w:space="0" w:color="auto"/>
              <w:right w:val="single" w:sz="4" w:space="0" w:color="auto"/>
            </w:tcBorders>
            <w:vAlign w:val="center"/>
            <w:hideMark/>
          </w:tcPr>
          <w:p w14:paraId="540B0EFA" w14:textId="77777777" w:rsidR="00F87CD2" w:rsidRPr="00F87CD2" w:rsidRDefault="00F87CD2">
            <w:pPr>
              <w:widowControl w:val="0"/>
              <w:autoSpaceDE w:val="0"/>
              <w:autoSpaceDN w:val="0"/>
              <w:spacing w:after="120" w:line="252" w:lineRule="auto"/>
              <w:ind w:right="130"/>
              <w:jc w:val="center"/>
              <w:rPr>
                <w:rFonts w:ascii="Arial" w:hAnsi="Arial" w:cs="Arial"/>
                <w:b/>
                <w:bCs/>
                <w:i/>
                <w:iCs/>
                <w:color w:val="000000"/>
                <w:szCs w:val="22"/>
                <w:lang w:val="en-US"/>
              </w:rPr>
            </w:pPr>
            <w:proofErr w:type="spellStart"/>
            <w:r w:rsidRPr="00F87CD2">
              <w:rPr>
                <w:rFonts w:ascii="Arial" w:hAnsi="Arial" w:cs="Arial"/>
                <w:b/>
                <w:bCs/>
                <w:i/>
                <w:iCs/>
                <w:color w:val="000000"/>
                <w:szCs w:val="22"/>
                <w:lang w:val="en-US"/>
              </w:rPr>
              <w:t>Historial</w:t>
            </w:r>
            <w:proofErr w:type="spellEnd"/>
            <w:r w:rsidRPr="00F87CD2">
              <w:rPr>
                <w:rFonts w:ascii="Arial" w:hAnsi="Arial" w:cs="Arial"/>
                <w:b/>
                <w:bCs/>
                <w:i/>
                <w:iCs/>
                <w:color w:val="000000"/>
                <w:szCs w:val="22"/>
                <w:lang w:val="en-US"/>
              </w:rPr>
              <w:t xml:space="preserve"> </w:t>
            </w:r>
            <w:proofErr w:type="spellStart"/>
            <w:r w:rsidRPr="00F87CD2">
              <w:rPr>
                <w:rFonts w:ascii="Arial" w:hAnsi="Arial" w:cs="Arial"/>
                <w:b/>
                <w:bCs/>
                <w:i/>
                <w:iCs/>
                <w:color w:val="000000"/>
                <w:szCs w:val="22"/>
                <w:lang w:val="en-US"/>
              </w:rPr>
              <w:t>laboral</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74A6C34" w14:textId="77777777" w:rsidR="00F87CD2" w:rsidRPr="00F87CD2" w:rsidRDefault="00F87CD2">
            <w:pPr>
              <w:widowControl w:val="0"/>
              <w:autoSpaceDE w:val="0"/>
              <w:autoSpaceDN w:val="0"/>
              <w:spacing w:after="120" w:line="252" w:lineRule="auto"/>
              <w:ind w:right="130"/>
              <w:jc w:val="center"/>
              <w:rPr>
                <w:rFonts w:ascii="Arial" w:hAnsi="Arial" w:cs="Arial"/>
                <w:b/>
                <w:bCs/>
                <w:i/>
                <w:iCs/>
                <w:color w:val="000000"/>
                <w:szCs w:val="22"/>
                <w:lang w:val="en-US"/>
              </w:rPr>
            </w:pPr>
            <w:proofErr w:type="spellStart"/>
            <w:r w:rsidRPr="00F87CD2">
              <w:rPr>
                <w:rFonts w:ascii="Arial" w:hAnsi="Arial" w:cs="Arial"/>
                <w:b/>
                <w:bCs/>
                <w:i/>
                <w:iCs/>
                <w:color w:val="000000"/>
                <w:szCs w:val="22"/>
                <w:lang w:val="en-US"/>
              </w:rPr>
              <w:t>Antecedentes</w:t>
            </w:r>
            <w:proofErr w:type="spellEnd"/>
            <w:r w:rsidRPr="00F87CD2">
              <w:rPr>
                <w:rFonts w:ascii="Arial" w:hAnsi="Arial" w:cs="Arial"/>
                <w:b/>
                <w:bCs/>
                <w:i/>
                <w:iCs/>
                <w:color w:val="000000"/>
                <w:szCs w:val="22"/>
                <w:lang w:val="en-US"/>
              </w:rPr>
              <w:t xml:space="preserve"> </w:t>
            </w:r>
            <w:proofErr w:type="spellStart"/>
            <w:r w:rsidRPr="00F87CD2">
              <w:rPr>
                <w:rFonts w:ascii="Arial" w:hAnsi="Arial" w:cs="Arial"/>
                <w:b/>
                <w:bCs/>
                <w:i/>
                <w:iCs/>
                <w:color w:val="000000"/>
                <w:szCs w:val="22"/>
                <w:lang w:val="en-US"/>
              </w:rPr>
              <w:t>disciplinarios</w:t>
            </w:r>
            <w:proofErr w:type="spellEnd"/>
            <w:r w:rsidRPr="00F87CD2">
              <w:rPr>
                <w:rFonts w:ascii="Arial" w:hAnsi="Arial" w:cs="Arial"/>
                <w:b/>
                <w:bCs/>
                <w:i/>
                <w:iCs/>
                <w:color w:val="000000"/>
                <w:szCs w:val="22"/>
                <w:lang w:val="en-US"/>
              </w:rPr>
              <w:t xml:space="preserve"> y </w:t>
            </w:r>
            <w:proofErr w:type="spellStart"/>
            <w:r w:rsidRPr="00F87CD2">
              <w:rPr>
                <w:rFonts w:ascii="Arial" w:hAnsi="Arial" w:cs="Arial"/>
                <w:b/>
                <w:bCs/>
                <w:i/>
                <w:iCs/>
                <w:color w:val="000000"/>
                <w:szCs w:val="22"/>
                <w:lang w:val="en-US"/>
              </w:rPr>
              <w:t>judiciales</w:t>
            </w:r>
            <w:proofErr w:type="spellEnd"/>
          </w:p>
        </w:tc>
      </w:tr>
      <w:tr w:rsidR="00F87CD2" w:rsidRPr="00F87CD2" w14:paraId="7F31B902" w14:textId="77777777" w:rsidTr="00F87CD2">
        <w:tc>
          <w:tcPr>
            <w:tcW w:w="2687" w:type="dxa"/>
            <w:tcBorders>
              <w:top w:val="single" w:sz="4" w:space="0" w:color="auto"/>
              <w:left w:val="single" w:sz="4" w:space="0" w:color="auto"/>
              <w:bottom w:val="single" w:sz="4" w:space="0" w:color="auto"/>
              <w:right w:val="single" w:sz="4" w:space="0" w:color="auto"/>
            </w:tcBorders>
            <w:hideMark/>
          </w:tcPr>
          <w:p w14:paraId="027B887A" w14:textId="77777777" w:rsidR="00F87CD2" w:rsidRPr="00F87CD2" w:rsidRDefault="00F87CD2">
            <w:pPr>
              <w:widowControl w:val="0"/>
              <w:autoSpaceDE w:val="0"/>
              <w:autoSpaceDN w:val="0"/>
              <w:spacing w:after="120" w:line="252" w:lineRule="auto"/>
              <w:ind w:right="130"/>
              <w:rPr>
                <w:rFonts w:ascii="Arial" w:hAnsi="Arial" w:cs="Arial"/>
                <w:i/>
                <w:iCs/>
                <w:szCs w:val="22"/>
                <w:lang w:val="en-US"/>
              </w:rPr>
            </w:pPr>
            <w:proofErr w:type="spellStart"/>
            <w:r w:rsidRPr="00F87CD2">
              <w:rPr>
                <w:rFonts w:ascii="Arial" w:hAnsi="Arial" w:cs="Arial"/>
                <w:i/>
                <w:iCs/>
                <w:szCs w:val="22"/>
                <w:lang w:val="en-US"/>
              </w:rPr>
              <w:t>Organo</w:t>
            </w:r>
            <w:proofErr w:type="spellEnd"/>
            <w:r w:rsidRPr="00F87CD2">
              <w:rPr>
                <w:rFonts w:ascii="Arial" w:hAnsi="Arial" w:cs="Arial"/>
                <w:i/>
                <w:iCs/>
                <w:szCs w:val="22"/>
                <w:lang w:val="en-US"/>
              </w:rPr>
              <w:t xml:space="preserve"> director</w:t>
            </w:r>
          </w:p>
        </w:tc>
        <w:tc>
          <w:tcPr>
            <w:tcW w:w="1701" w:type="dxa"/>
            <w:tcBorders>
              <w:top w:val="single" w:sz="4" w:space="0" w:color="auto"/>
              <w:left w:val="single" w:sz="4" w:space="0" w:color="auto"/>
              <w:bottom w:val="single" w:sz="4" w:space="0" w:color="auto"/>
              <w:right w:val="single" w:sz="4" w:space="0" w:color="auto"/>
            </w:tcBorders>
            <w:hideMark/>
          </w:tcPr>
          <w:p w14:paraId="582F73E8"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4" w:type="dxa"/>
            <w:tcBorders>
              <w:top w:val="single" w:sz="4" w:space="0" w:color="auto"/>
              <w:left w:val="single" w:sz="4" w:space="0" w:color="auto"/>
              <w:bottom w:val="single" w:sz="4" w:space="0" w:color="auto"/>
              <w:right w:val="single" w:sz="4" w:space="0" w:color="auto"/>
            </w:tcBorders>
            <w:hideMark/>
          </w:tcPr>
          <w:p w14:paraId="2F7E5EFB"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558" w:type="dxa"/>
            <w:tcBorders>
              <w:top w:val="single" w:sz="4" w:space="0" w:color="auto"/>
              <w:left w:val="single" w:sz="4" w:space="0" w:color="auto"/>
              <w:bottom w:val="single" w:sz="4" w:space="0" w:color="auto"/>
              <w:right w:val="single" w:sz="4" w:space="0" w:color="auto"/>
            </w:tcBorders>
            <w:hideMark/>
          </w:tcPr>
          <w:p w14:paraId="1E0E898B"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1" w:type="dxa"/>
            <w:tcBorders>
              <w:top w:val="single" w:sz="4" w:space="0" w:color="auto"/>
              <w:left w:val="single" w:sz="4" w:space="0" w:color="auto"/>
              <w:bottom w:val="single" w:sz="4" w:space="0" w:color="auto"/>
              <w:right w:val="single" w:sz="4" w:space="0" w:color="auto"/>
            </w:tcBorders>
            <w:hideMark/>
          </w:tcPr>
          <w:p w14:paraId="2EBF627A"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r>
      <w:tr w:rsidR="00F87CD2" w:rsidRPr="00F87CD2" w14:paraId="3C7531C3" w14:textId="77777777" w:rsidTr="00F87CD2">
        <w:tc>
          <w:tcPr>
            <w:tcW w:w="2687" w:type="dxa"/>
            <w:tcBorders>
              <w:top w:val="single" w:sz="4" w:space="0" w:color="auto"/>
              <w:left w:val="single" w:sz="4" w:space="0" w:color="auto"/>
              <w:bottom w:val="single" w:sz="4" w:space="0" w:color="auto"/>
              <w:right w:val="single" w:sz="4" w:space="0" w:color="auto"/>
            </w:tcBorders>
            <w:hideMark/>
          </w:tcPr>
          <w:p w14:paraId="31938800" w14:textId="77777777" w:rsidR="00F87CD2" w:rsidRPr="00F87CD2" w:rsidRDefault="00F87CD2">
            <w:pPr>
              <w:widowControl w:val="0"/>
              <w:autoSpaceDE w:val="0"/>
              <w:autoSpaceDN w:val="0"/>
              <w:spacing w:after="120" w:line="252" w:lineRule="auto"/>
              <w:ind w:right="130"/>
              <w:rPr>
                <w:rFonts w:ascii="Arial" w:hAnsi="Arial" w:cs="Arial"/>
                <w:i/>
                <w:iCs/>
                <w:szCs w:val="22"/>
                <w:lang w:val="en-US"/>
              </w:rPr>
            </w:pPr>
            <w:r w:rsidRPr="00F87CD2">
              <w:rPr>
                <w:rFonts w:ascii="Arial" w:hAnsi="Arial" w:cs="Arial"/>
                <w:i/>
                <w:iCs/>
                <w:szCs w:val="22"/>
                <w:lang w:val="en-US"/>
              </w:rPr>
              <w:t>Alta Gerencia</w:t>
            </w:r>
          </w:p>
        </w:tc>
        <w:tc>
          <w:tcPr>
            <w:tcW w:w="1701" w:type="dxa"/>
            <w:tcBorders>
              <w:top w:val="single" w:sz="4" w:space="0" w:color="auto"/>
              <w:left w:val="single" w:sz="4" w:space="0" w:color="auto"/>
              <w:bottom w:val="single" w:sz="4" w:space="0" w:color="auto"/>
              <w:right w:val="single" w:sz="4" w:space="0" w:color="auto"/>
            </w:tcBorders>
            <w:hideMark/>
          </w:tcPr>
          <w:p w14:paraId="03D52EA9"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4" w:type="dxa"/>
            <w:tcBorders>
              <w:top w:val="single" w:sz="4" w:space="0" w:color="auto"/>
              <w:left w:val="single" w:sz="4" w:space="0" w:color="auto"/>
              <w:bottom w:val="single" w:sz="4" w:space="0" w:color="auto"/>
              <w:right w:val="single" w:sz="4" w:space="0" w:color="auto"/>
            </w:tcBorders>
            <w:hideMark/>
          </w:tcPr>
          <w:p w14:paraId="246BC7E3"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558" w:type="dxa"/>
            <w:tcBorders>
              <w:top w:val="single" w:sz="4" w:space="0" w:color="auto"/>
              <w:left w:val="single" w:sz="4" w:space="0" w:color="auto"/>
              <w:bottom w:val="single" w:sz="4" w:space="0" w:color="auto"/>
              <w:right w:val="single" w:sz="4" w:space="0" w:color="auto"/>
            </w:tcBorders>
            <w:hideMark/>
          </w:tcPr>
          <w:p w14:paraId="55E015AC"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1" w:type="dxa"/>
            <w:tcBorders>
              <w:top w:val="single" w:sz="4" w:space="0" w:color="auto"/>
              <w:left w:val="single" w:sz="4" w:space="0" w:color="auto"/>
              <w:bottom w:val="single" w:sz="4" w:space="0" w:color="auto"/>
              <w:right w:val="single" w:sz="4" w:space="0" w:color="auto"/>
            </w:tcBorders>
            <w:hideMark/>
          </w:tcPr>
          <w:p w14:paraId="10AC48E5"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r>
      <w:tr w:rsidR="00F87CD2" w:rsidRPr="00F87CD2" w14:paraId="7535AFA6" w14:textId="77777777" w:rsidTr="00F87CD2">
        <w:tc>
          <w:tcPr>
            <w:tcW w:w="2687" w:type="dxa"/>
            <w:tcBorders>
              <w:top w:val="single" w:sz="4" w:space="0" w:color="auto"/>
              <w:left w:val="single" w:sz="4" w:space="0" w:color="auto"/>
              <w:bottom w:val="single" w:sz="4" w:space="0" w:color="auto"/>
              <w:right w:val="single" w:sz="4" w:space="0" w:color="auto"/>
            </w:tcBorders>
            <w:hideMark/>
          </w:tcPr>
          <w:p w14:paraId="7702E4FF" w14:textId="77777777" w:rsidR="00F87CD2" w:rsidRPr="00F87CD2" w:rsidRDefault="00F87CD2">
            <w:pPr>
              <w:widowControl w:val="0"/>
              <w:autoSpaceDE w:val="0"/>
              <w:autoSpaceDN w:val="0"/>
              <w:spacing w:after="120" w:line="252" w:lineRule="auto"/>
              <w:ind w:right="130"/>
              <w:rPr>
                <w:rFonts w:ascii="Arial" w:hAnsi="Arial" w:cs="Arial"/>
                <w:i/>
                <w:iCs/>
                <w:szCs w:val="22"/>
                <w:lang w:val="en-US"/>
              </w:rPr>
            </w:pPr>
            <w:proofErr w:type="spellStart"/>
            <w:r w:rsidRPr="00F87CD2">
              <w:rPr>
                <w:rFonts w:ascii="Arial" w:hAnsi="Arial" w:cs="Arial"/>
                <w:i/>
                <w:iCs/>
                <w:szCs w:val="22"/>
                <w:lang w:val="en-US"/>
              </w:rPr>
              <w:t>Oficial</w:t>
            </w:r>
            <w:proofErr w:type="spellEnd"/>
            <w:r w:rsidRPr="00F87CD2">
              <w:rPr>
                <w:rFonts w:ascii="Arial" w:hAnsi="Arial" w:cs="Arial"/>
                <w:i/>
                <w:iCs/>
                <w:szCs w:val="22"/>
                <w:lang w:val="en-US"/>
              </w:rPr>
              <w:t xml:space="preserve"> de </w:t>
            </w:r>
            <w:proofErr w:type="spellStart"/>
            <w:r w:rsidRPr="00F87CD2">
              <w:rPr>
                <w:rFonts w:ascii="Arial" w:hAnsi="Arial" w:cs="Arial"/>
                <w:i/>
                <w:iCs/>
                <w:szCs w:val="22"/>
                <w:lang w:val="en-US"/>
              </w:rPr>
              <w:t>Cumplimiento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517FEB3"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4" w:type="dxa"/>
            <w:tcBorders>
              <w:top w:val="single" w:sz="4" w:space="0" w:color="auto"/>
              <w:left w:val="single" w:sz="4" w:space="0" w:color="auto"/>
              <w:bottom w:val="single" w:sz="4" w:space="0" w:color="auto"/>
              <w:right w:val="single" w:sz="4" w:space="0" w:color="auto"/>
            </w:tcBorders>
            <w:hideMark/>
          </w:tcPr>
          <w:p w14:paraId="449300CE"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558" w:type="dxa"/>
            <w:tcBorders>
              <w:top w:val="single" w:sz="4" w:space="0" w:color="auto"/>
              <w:left w:val="single" w:sz="4" w:space="0" w:color="auto"/>
              <w:bottom w:val="single" w:sz="4" w:space="0" w:color="auto"/>
              <w:right w:val="single" w:sz="4" w:space="0" w:color="auto"/>
            </w:tcBorders>
            <w:hideMark/>
          </w:tcPr>
          <w:p w14:paraId="5692A844"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1" w:type="dxa"/>
            <w:tcBorders>
              <w:top w:val="single" w:sz="4" w:space="0" w:color="auto"/>
              <w:left w:val="single" w:sz="4" w:space="0" w:color="auto"/>
              <w:bottom w:val="single" w:sz="4" w:space="0" w:color="auto"/>
              <w:right w:val="single" w:sz="4" w:space="0" w:color="auto"/>
            </w:tcBorders>
            <w:hideMark/>
          </w:tcPr>
          <w:p w14:paraId="534E12D7"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r>
      <w:tr w:rsidR="00F87CD2" w:rsidRPr="00F87CD2" w14:paraId="027022E0" w14:textId="77777777" w:rsidTr="00F87CD2">
        <w:tc>
          <w:tcPr>
            <w:tcW w:w="2687" w:type="dxa"/>
            <w:tcBorders>
              <w:top w:val="single" w:sz="4" w:space="0" w:color="auto"/>
              <w:left w:val="single" w:sz="4" w:space="0" w:color="auto"/>
              <w:bottom w:val="single" w:sz="4" w:space="0" w:color="auto"/>
              <w:right w:val="single" w:sz="4" w:space="0" w:color="auto"/>
            </w:tcBorders>
            <w:hideMark/>
          </w:tcPr>
          <w:p w14:paraId="27A06293" w14:textId="77777777" w:rsidR="00F87CD2" w:rsidRPr="00F87CD2" w:rsidRDefault="00F87CD2">
            <w:pPr>
              <w:widowControl w:val="0"/>
              <w:autoSpaceDE w:val="0"/>
              <w:autoSpaceDN w:val="0"/>
              <w:spacing w:after="120" w:line="252" w:lineRule="auto"/>
              <w:ind w:right="130"/>
              <w:rPr>
                <w:rFonts w:ascii="Arial" w:hAnsi="Arial" w:cs="Arial"/>
                <w:i/>
                <w:iCs/>
                <w:szCs w:val="22"/>
                <w:lang w:val="en-US"/>
              </w:rPr>
            </w:pPr>
            <w:proofErr w:type="spellStart"/>
            <w:r w:rsidRPr="00F87CD2">
              <w:rPr>
                <w:rFonts w:ascii="Arial" w:hAnsi="Arial" w:cs="Arial"/>
                <w:i/>
                <w:iCs/>
                <w:szCs w:val="22"/>
                <w:lang w:val="en-US"/>
              </w:rPr>
              <w:t>Oficial</w:t>
            </w:r>
            <w:proofErr w:type="spellEnd"/>
            <w:r w:rsidRPr="00F87CD2">
              <w:rPr>
                <w:rFonts w:ascii="Arial" w:hAnsi="Arial" w:cs="Arial"/>
                <w:i/>
                <w:iCs/>
                <w:szCs w:val="22"/>
                <w:lang w:val="en-US"/>
              </w:rPr>
              <w:t xml:space="preserve"> de </w:t>
            </w:r>
            <w:proofErr w:type="spellStart"/>
            <w:r w:rsidRPr="00F87CD2">
              <w:rPr>
                <w:rFonts w:ascii="Arial" w:hAnsi="Arial" w:cs="Arial"/>
                <w:i/>
                <w:iCs/>
                <w:szCs w:val="22"/>
                <w:lang w:val="en-US"/>
              </w:rPr>
              <w:t>Cumplimiento</w:t>
            </w:r>
            <w:proofErr w:type="spellEnd"/>
            <w:r w:rsidRPr="00F87CD2">
              <w:rPr>
                <w:rFonts w:ascii="Arial" w:hAnsi="Arial" w:cs="Arial"/>
                <w:i/>
                <w:iCs/>
                <w:szCs w:val="22"/>
                <w:lang w:val="en-US"/>
              </w:rPr>
              <w:t xml:space="preserve"> </w:t>
            </w:r>
            <w:proofErr w:type="spellStart"/>
            <w:r w:rsidRPr="00F87CD2">
              <w:rPr>
                <w:rFonts w:ascii="Arial" w:hAnsi="Arial" w:cs="Arial"/>
                <w:i/>
                <w:iCs/>
                <w:szCs w:val="22"/>
                <w:lang w:val="en-US"/>
              </w:rPr>
              <w:t>adjunto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EF27133"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4" w:type="dxa"/>
            <w:tcBorders>
              <w:top w:val="single" w:sz="4" w:space="0" w:color="auto"/>
              <w:left w:val="single" w:sz="4" w:space="0" w:color="auto"/>
              <w:bottom w:val="single" w:sz="4" w:space="0" w:color="auto"/>
              <w:right w:val="single" w:sz="4" w:space="0" w:color="auto"/>
            </w:tcBorders>
            <w:hideMark/>
          </w:tcPr>
          <w:p w14:paraId="45ED9C86"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558" w:type="dxa"/>
            <w:tcBorders>
              <w:top w:val="single" w:sz="4" w:space="0" w:color="auto"/>
              <w:left w:val="single" w:sz="4" w:space="0" w:color="auto"/>
              <w:bottom w:val="single" w:sz="4" w:space="0" w:color="auto"/>
              <w:right w:val="single" w:sz="4" w:space="0" w:color="auto"/>
            </w:tcBorders>
            <w:hideMark/>
          </w:tcPr>
          <w:p w14:paraId="479AA934"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1" w:type="dxa"/>
            <w:tcBorders>
              <w:top w:val="single" w:sz="4" w:space="0" w:color="auto"/>
              <w:left w:val="single" w:sz="4" w:space="0" w:color="auto"/>
              <w:bottom w:val="single" w:sz="4" w:space="0" w:color="auto"/>
              <w:right w:val="single" w:sz="4" w:space="0" w:color="auto"/>
            </w:tcBorders>
            <w:hideMark/>
          </w:tcPr>
          <w:p w14:paraId="135A18A5"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r>
      <w:tr w:rsidR="00F87CD2" w:rsidRPr="00F87CD2" w14:paraId="578748B1" w14:textId="77777777" w:rsidTr="00F87CD2">
        <w:tc>
          <w:tcPr>
            <w:tcW w:w="2687" w:type="dxa"/>
            <w:tcBorders>
              <w:top w:val="single" w:sz="4" w:space="0" w:color="auto"/>
              <w:left w:val="single" w:sz="4" w:space="0" w:color="auto"/>
              <w:bottom w:val="single" w:sz="4" w:space="0" w:color="auto"/>
              <w:right w:val="single" w:sz="4" w:space="0" w:color="auto"/>
            </w:tcBorders>
            <w:hideMark/>
          </w:tcPr>
          <w:p w14:paraId="22F68FF1" w14:textId="77777777" w:rsidR="00F87CD2" w:rsidRPr="00F87CD2" w:rsidRDefault="00F87CD2">
            <w:pPr>
              <w:widowControl w:val="0"/>
              <w:autoSpaceDE w:val="0"/>
              <w:autoSpaceDN w:val="0"/>
              <w:spacing w:after="120" w:line="252" w:lineRule="auto"/>
              <w:ind w:right="130"/>
              <w:rPr>
                <w:rFonts w:ascii="Arial" w:hAnsi="Arial" w:cs="Arial"/>
                <w:i/>
                <w:iCs/>
                <w:szCs w:val="22"/>
                <w:lang w:val="en-US"/>
              </w:rPr>
            </w:pPr>
            <w:r w:rsidRPr="00F87CD2">
              <w:rPr>
                <w:rFonts w:ascii="Arial" w:hAnsi="Arial" w:cs="Arial"/>
                <w:i/>
                <w:iCs/>
                <w:szCs w:val="22"/>
                <w:lang w:val="en-US"/>
              </w:rPr>
              <w:t xml:space="preserve">Auditor </w:t>
            </w:r>
            <w:proofErr w:type="spellStart"/>
            <w:r w:rsidRPr="00F87CD2">
              <w:rPr>
                <w:rFonts w:ascii="Arial" w:hAnsi="Arial" w:cs="Arial"/>
                <w:i/>
                <w:iCs/>
                <w:szCs w:val="22"/>
                <w:lang w:val="en-US"/>
              </w:rPr>
              <w:t>Interno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7FCDC9A"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4" w:type="dxa"/>
            <w:tcBorders>
              <w:top w:val="single" w:sz="4" w:space="0" w:color="auto"/>
              <w:left w:val="single" w:sz="4" w:space="0" w:color="auto"/>
              <w:bottom w:val="single" w:sz="4" w:space="0" w:color="auto"/>
              <w:right w:val="single" w:sz="4" w:space="0" w:color="auto"/>
            </w:tcBorders>
            <w:hideMark/>
          </w:tcPr>
          <w:p w14:paraId="6AA7FECC"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558" w:type="dxa"/>
            <w:tcBorders>
              <w:top w:val="single" w:sz="4" w:space="0" w:color="auto"/>
              <w:left w:val="single" w:sz="4" w:space="0" w:color="auto"/>
              <w:bottom w:val="single" w:sz="4" w:space="0" w:color="auto"/>
              <w:right w:val="single" w:sz="4" w:space="0" w:color="auto"/>
            </w:tcBorders>
            <w:hideMark/>
          </w:tcPr>
          <w:p w14:paraId="49E6C5CE"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1" w:type="dxa"/>
            <w:tcBorders>
              <w:top w:val="single" w:sz="4" w:space="0" w:color="auto"/>
              <w:left w:val="single" w:sz="4" w:space="0" w:color="auto"/>
              <w:bottom w:val="single" w:sz="4" w:space="0" w:color="auto"/>
              <w:right w:val="single" w:sz="4" w:space="0" w:color="auto"/>
            </w:tcBorders>
            <w:hideMark/>
          </w:tcPr>
          <w:p w14:paraId="353F46AE"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r>
      <w:tr w:rsidR="00F87CD2" w:rsidRPr="00F87CD2" w14:paraId="10EA96AD" w14:textId="77777777" w:rsidTr="00F87CD2">
        <w:tc>
          <w:tcPr>
            <w:tcW w:w="2687" w:type="dxa"/>
            <w:tcBorders>
              <w:top w:val="single" w:sz="4" w:space="0" w:color="auto"/>
              <w:left w:val="single" w:sz="4" w:space="0" w:color="auto"/>
              <w:bottom w:val="single" w:sz="4" w:space="0" w:color="auto"/>
              <w:right w:val="single" w:sz="4" w:space="0" w:color="auto"/>
            </w:tcBorders>
            <w:hideMark/>
          </w:tcPr>
          <w:p w14:paraId="7BFC9313" w14:textId="77777777" w:rsidR="00F87CD2" w:rsidRPr="00F87CD2" w:rsidRDefault="00F87CD2">
            <w:pPr>
              <w:widowControl w:val="0"/>
              <w:autoSpaceDE w:val="0"/>
              <w:autoSpaceDN w:val="0"/>
              <w:spacing w:after="120" w:line="252" w:lineRule="auto"/>
              <w:ind w:right="130"/>
              <w:rPr>
                <w:rFonts w:ascii="Arial" w:hAnsi="Arial" w:cs="Arial"/>
                <w:i/>
                <w:iCs/>
                <w:szCs w:val="22"/>
                <w:lang w:val="en-US"/>
              </w:rPr>
            </w:pPr>
            <w:r w:rsidRPr="00F87CD2">
              <w:rPr>
                <w:rFonts w:ascii="Arial" w:hAnsi="Arial" w:cs="Arial"/>
                <w:i/>
                <w:iCs/>
                <w:szCs w:val="22"/>
                <w:lang w:val="en-US"/>
              </w:rPr>
              <w:t xml:space="preserve">Gestor de </w:t>
            </w:r>
            <w:proofErr w:type="spellStart"/>
            <w:r w:rsidRPr="00F87CD2">
              <w:rPr>
                <w:rFonts w:ascii="Arial" w:hAnsi="Arial" w:cs="Arial"/>
                <w:i/>
                <w:iCs/>
                <w:szCs w:val="22"/>
                <w:lang w:val="en-US"/>
              </w:rPr>
              <w:t>Portafolios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3A34BDF"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4" w:type="dxa"/>
            <w:tcBorders>
              <w:top w:val="single" w:sz="4" w:space="0" w:color="auto"/>
              <w:left w:val="single" w:sz="4" w:space="0" w:color="auto"/>
              <w:bottom w:val="single" w:sz="4" w:space="0" w:color="auto"/>
              <w:right w:val="single" w:sz="4" w:space="0" w:color="auto"/>
            </w:tcBorders>
            <w:hideMark/>
          </w:tcPr>
          <w:p w14:paraId="4AA2692D"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558" w:type="dxa"/>
            <w:tcBorders>
              <w:top w:val="single" w:sz="4" w:space="0" w:color="auto"/>
              <w:left w:val="single" w:sz="4" w:space="0" w:color="auto"/>
              <w:bottom w:val="single" w:sz="4" w:space="0" w:color="auto"/>
              <w:right w:val="single" w:sz="4" w:space="0" w:color="auto"/>
            </w:tcBorders>
            <w:hideMark/>
          </w:tcPr>
          <w:p w14:paraId="53A9C1E8"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c>
          <w:tcPr>
            <w:tcW w:w="1701" w:type="dxa"/>
            <w:tcBorders>
              <w:top w:val="single" w:sz="4" w:space="0" w:color="auto"/>
              <w:left w:val="single" w:sz="4" w:space="0" w:color="auto"/>
              <w:bottom w:val="single" w:sz="4" w:space="0" w:color="auto"/>
              <w:right w:val="single" w:sz="4" w:space="0" w:color="auto"/>
            </w:tcBorders>
            <w:hideMark/>
          </w:tcPr>
          <w:p w14:paraId="3280C3F7"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i/>
                <w:iCs/>
                <w:szCs w:val="22"/>
                <w:lang w:val="en-US"/>
              </w:rPr>
              <w:t>X</w:t>
            </w:r>
          </w:p>
        </w:tc>
      </w:tr>
      <w:tr w:rsidR="00F87CD2" w:rsidRPr="00F87CD2" w14:paraId="57F7CCE0" w14:textId="77777777" w:rsidTr="00F87CD2">
        <w:tc>
          <w:tcPr>
            <w:tcW w:w="2687" w:type="dxa"/>
            <w:tcBorders>
              <w:top w:val="single" w:sz="4" w:space="0" w:color="auto"/>
              <w:left w:val="single" w:sz="4" w:space="0" w:color="auto"/>
              <w:bottom w:val="single" w:sz="4" w:space="0" w:color="auto"/>
              <w:right w:val="single" w:sz="4" w:space="0" w:color="auto"/>
            </w:tcBorders>
            <w:hideMark/>
          </w:tcPr>
          <w:p w14:paraId="12A32A51" w14:textId="77777777" w:rsidR="00F87CD2" w:rsidRPr="00F87CD2" w:rsidRDefault="00F87CD2">
            <w:pPr>
              <w:widowControl w:val="0"/>
              <w:autoSpaceDE w:val="0"/>
              <w:autoSpaceDN w:val="0"/>
              <w:spacing w:after="120" w:line="252" w:lineRule="auto"/>
              <w:ind w:right="130"/>
              <w:rPr>
                <w:rFonts w:ascii="Arial" w:hAnsi="Arial" w:cs="Arial"/>
                <w:i/>
                <w:iCs/>
                <w:szCs w:val="22"/>
                <w:lang w:val="en-US"/>
              </w:rPr>
            </w:pPr>
            <w:proofErr w:type="spellStart"/>
            <w:r w:rsidRPr="00F87CD2">
              <w:rPr>
                <w:rFonts w:ascii="Arial" w:hAnsi="Arial" w:cs="Arial"/>
                <w:i/>
                <w:iCs/>
                <w:szCs w:val="22"/>
                <w:lang w:val="en-US"/>
              </w:rPr>
              <w:t>Estructura</w:t>
            </w:r>
            <w:proofErr w:type="spellEnd"/>
            <w:r w:rsidRPr="00F87CD2">
              <w:rPr>
                <w:rFonts w:ascii="Arial" w:hAnsi="Arial" w:cs="Arial"/>
                <w:i/>
                <w:iCs/>
                <w:szCs w:val="22"/>
                <w:lang w:val="en-US"/>
              </w:rPr>
              <w:t xml:space="preserve"> de Capital</w:t>
            </w:r>
          </w:p>
        </w:tc>
        <w:tc>
          <w:tcPr>
            <w:tcW w:w="1701" w:type="dxa"/>
            <w:tcBorders>
              <w:top w:val="single" w:sz="4" w:space="0" w:color="auto"/>
              <w:left w:val="single" w:sz="4" w:space="0" w:color="auto"/>
              <w:bottom w:val="single" w:sz="4" w:space="0" w:color="auto"/>
              <w:right w:val="single" w:sz="4" w:space="0" w:color="auto"/>
            </w:tcBorders>
            <w:hideMark/>
          </w:tcPr>
          <w:p w14:paraId="189B1323"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b/>
                <w:bCs/>
                <w:i/>
                <w:iCs/>
                <w:color w:val="0070C0"/>
                <w:szCs w:val="22"/>
                <w:lang w:val="es-CR"/>
              </w:rPr>
              <w:t>X</w:t>
            </w:r>
          </w:p>
        </w:tc>
        <w:tc>
          <w:tcPr>
            <w:tcW w:w="1704" w:type="dxa"/>
            <w:tcBorders>
              <w:top w:val="single" w:sz="4" w:space="0" w:color="auto"/>
              <w:left w:val="single" w:sz="4" w:space="0" w:color="auto"/>
              <w:bottom w:val="single" w:sz="4" w:space="0" w:color="auto"/>
              <w:right w:val="single" w:sz="4" w:space="0" w:color="auto"/>
            </w:tcBorders>
            <w:hideMark/>
          </w:tcPr>
          <w:p w14:paraId="1039D18D"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b/>
                <w:bCs/>
                <w:i/>
                <w:iCs/>
                <w:color w:val="0070C0"/>
                <w:szCs w:val="22"/>
                <w:lang w:val="es-CR"/>
              </w:rPr>
              <w:t>X</w:t>
            </w:r>
          </w:p>
        </w:tc>
        <w:tc>
          <w:tcPr>
            <w:tcW w:w="1558" w:type="dxa"/>
            <w:tcBorders>
              <w:top w:val="single" w:sz="4" w:space="0" w:color="auto"/>
              <w:left w:val="single" w:sz="4" w:space="0" w:color="auto"/>
              <w:bottom w:val="single" w:sz="4" w:space="0" w:color="auto"/>
              <w:right w:val="single" w:sz="4" w:space="0" w:color="auto"/>
            </w:tcBorders>
            <w:hideMark/>
          </w:tcPr>
          <w:p w14:paraId="1528CBAB"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hAnsi="Arial" w:cs="Arial"/>
                <w:b/>
                <w:bCs/>
                <w:i/>
                <w:iCs/>
                <w:color w:val="0070C0"/>
                <w:szCs w:val="22"/>
                <w:lang w:val="es-CR"/>
              </w:rPr>
              <w:t>X</w:t>
            </w:r>
          </w:p>
        </w:tc>
        <w:tc>
          <w:tcPr>
            <w:tcW w:w="1701" w:type="dxa"/>
            <w:tcBorders>
              <w:top w:val="single" w:sz="4" w:space="0" w:color="auto"/>
              <w:left w:val="single" w:sz="4" w:space="0" w:color="auto"/>
              <w:bottom w:val="single" w:sz="4" w:space="0" w:color="auto"/>
              <w:right w:val="single" w:sz="4" w:space="0" w:color="auto"/>
            </w:tcBorders>
            <w:hideMark/>
          </w:tcPr>
          <w:p w14:paraId="591A107F" w14:textId="77777777" w:rsidR="00F87CD2" w:rsidRPr="00F87CD2" w:rsidRDefault="00F87CD2">
            <w:pPr>
              <w:rPr>
                <w:rFonts w:ascii="Arial" w:hAnsi="Arial" w:cs="Arial"/>
                <w:i/>
                <w:iCs/>
                <w:szCs w:val="22"/>
                <w:lang w:val="en-US"/>
              </w:rPr>
            </w:pPr>
          </w:p>
        </w:tc>
      </w:tr>
      <w:tr w:rsidR="00F87CD2" w:rsidRPr="00F87CD2" w14:paraId="4C9A011C" w14:textId="77777777" w:rsidTr="00F87CD2">
        <w:tc>
          <w:tcPr>
            <w:tcW w:w="2687" w:type="dxa"/>
            <w:tcBorders>
              <w:top w:val="single" w:sz="4" w:space="0" w:color="auto"/>
              <w:left w:val="single" w:sz="4" w:space="0" w:color="auto"/>
              <w:bottom w:val="single" w:sz="4" w:space="0" w:color="auto"/>
              <w:right w:val="single" w:sz="4" w:space="0" w:color="auto"/>
            </w:tcBorders>
            <w:hideMark/>
          </w:tcPr>
          <w:p w14:paraId="587B8710" w14:textId="77777777" w:rsidR="00F87CD2" w:rsidRPr="00F87CD2" w:rsidRDefault="00F87CD2">
            <w:pPr>
              <w:widowControl w:val="0"/>
              <w:autoSpaceDE w:val="0"/>
              <w:autoSpaceDN w:val="0"/>
              <w:spacing w:after="120" w:line="252" w:lineRule="auto"/>
              <w:ind w:right="130"/>
              <w:rPr>
                <w:rFonts w:ascii="Arial" w:eastAsia="Calibri" w:hAnsi="Arial" w:cs="Arial"/>
                <w:i/>
                <w:iCs/>
                <w:szCs w:val="22"/>
                <w:lang w:val="en-US" w:eastAsia="en-US"/>
              </w:rPr>
            </w:pPr>
            <w:proofErr w:type="spellStart"/>
            <w:r w:rsidRPr="00F87CD2">
              <w:rPr>
                <w:rFonts w:ascii="Arial" w:hAnsi="Arial" w:cs="Arial"/>
                <w:i/>
                <w:iCs/>
                <w:szCs w:val="22"/>
                <w:lang w:val="en-US"/>
              </w:rPr>
              <w:t>Consejo</w:t>
            </w:r>
            <w:proofErr w:type="spellEnd"/>
            <w:r w:rsidRPr="00F87CD2">
              <w:rPr>
                <w:rFonts w:ascii="Arial" w:hAnsi="Arial" w:cs="Arial"/>
                <w:i/>
                <w:iCs/>
                <w:szCs w:val="22"/>
                <w:lang w:val="en-US"/>
              </w:rPr>
              <w:t xml:space="preserve"> de </w:t>
            </w:r>
            <w:proofErr w:type="spellStart"/>
            <w:r w:rsidRPr="00F87CD2">
              <w:rPr>
                <w:rFonts w:ascii="Arial" w:hAnsi="Arial" w:cs="Arial"/>
                <w:i/>
                <w:iCs/>
                <w:szCs w:val="22"/>
                <w:lang w:val="en-US"/>
              </w:rPr>
              <w:t>Calificación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5F95AEA"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eastAsia="Cambria" w:hAnsi="Arial" w:cs="Arial"/>
                <w:b/>
                <w:bCs/>
                <w:i/>
                <w:iCs/>
                <w:color w:val="0070C0"/>
                <w:szCs w:val="22"/>
                <w:lang w:val="es-CR"/>
              </w:rPr>
              <w:t>X</w:t>
            </w:r>
          </w:p>
        </w:tc>
        <w:tc>
          <w:tcPr>
            <w:tcW w:w="1704" w:type="dxa"/>
            <w:tcBorders>
              <w:top w:val="single" w:sz="4" w:space="0" w:color="auto"/>
              <w:left w:val="single" w:sz="4" w:space="0" w:color="auto"/>
              <w:bottom w:val="single" w:sz="4" w:space="0" w:color="auto"/>
              <w:right w:val="single" w:sz="4" w:space="0" w:color="auto"/>
            </w:tcBorders>
            <w:hideMark/>
          </w:tcPr>
          <w:p w14:paraId="1A217E47"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eastAsia="Cambria" w:hAnsi="Arial" w:cs="Arial"/>
                <w:b/>
                <w:bCs/>
                <w:i/>
                <w:iCs/>
                <w:color w:val="0070C0"/>
                <w:szCs w:val="22"/>
                <w:lang w:val="es-CR"/>
              </w:rPr>
              <w:t>X</w:t>
            </w:r>
          </w:p>
        </w:tc>
        <w:tc>
          <w:tcPr>
            <w:tcW w:w="1558" w:type="dxa"/>
            <w:tcBorders>
              <w:top w:val="single" w:sz="4" w:space="0" w:color="auto"/>
              <w:left w:val="single" w:sz="4" w:space="0" w:color="auto"/>
              <w:bottom w:val="single" w:sz="4" w:space="0" w:color="auto"/>
              <w:right w:val="single" w:sz="4" w:space="0" w:color="auto"/>
            </w:tcBorders>
            <w:hideMark/>
          </w:tcPr>
          <w:p w14:paraId="11F63746" w14:textId="77777777" w:rsidR="00F87CD2" w:rsidRPr="00F87CD2" w:rsidRDefault="00F87CD2">
            <w:pPr>
              <w:widowControl w:val="0"/>
              <w:autoSpaceDE w:val="0"/>
              <w:autoSpaceDN w:val="0"/>
              <w:spacing w:after="120" w:line="252" w:lineRule="auto"/>
              <w:ind w:right="130"/>
              <w:jc w:val="center"/>
              <w:rPr>
                <w:rFonts w:ascii="Arial" w:hAnsi="Arial" w:cs="Arial"/>
                <w:i/>
                <w:iCs/>
                <w:szCs w:val="22"/>
                <w:lang w:val="en-US"/>
              </w:rPr>
            </w:pPr>
            <w:r w:rsidRPr="00F87CD2">
              <w:rPr>
                <w:rFonts w:ascii="Arial" w:eastAsia="Cambria" w:hAnsi="Arial" w:cs="Arial"/>
                <w:b/>
                <w:bCs/>
                <w:i/>
                <w:iCs/>
                <w:color w:val="0070C0"/>
                <w:szCs w:val="22"/>
                <w:lang w:val="es-CR"/>
              </w:rPr>
              <w:t>X</w:t>
            </w:r>
          </w:p>
        </w:tc>
        <w:tc>
          <w:tcPr>
            <w:tcW w:w="1701" w:type="dxa"/>
            <w:tcBorders>
              <w:top w:val="single" w:sz="4" w:space="0" w:color="auto"/>
              <w:left w:val="single" w:sz="4" w:space="0" w:color="auto"/>
              <w:bottom w:val="single" w:sz="4" w:space="0" w:color="auto"/>
              <w:right w:val="single" w:sz="4" w:space="0" w:color="auto"/>
            </w:tcBorders>
            <w:hideMark/>
          </w:tcPr>
          <w:p w14:paraId="2DB324DD" w14:textId="77777777" w:rsidR="00F87CD2" w:rsidRPr="00F87CD2" w:rsidRDefault="00F87CD2">
            <w:pPr>
              <w:rPr>
                <w:rFonts w:ascii="Arial" w:hAnsi="Arial" w:cs="Arial"/>
                <w:i/>
                <w:iCs/>
                <w:szCs w:val="22"/>
                <w:lang w:val="en-US"/>
              </w:rPr>
            </w:pPr>
          </w:p>
        </w:tc>
      </w:tr>
    </w:tbl>
    <w:p w14:paraId="4B296C4F" w14:textId="77777777" w:rsidR="00F87CD2" w:rsidRPr="00F87CD2" w:rsidRDefault="00F87CD2" w:rsidP="00F87CD2">
      <w:pPr>
        <w:widowControl w:val="0"/>
        <w:autoSpaceDE w:val="0"/>
        <w:autoSpaceDN w:val="0"/>
        <w:rPr>
          <w:rFonts w:ascii="Arial" w:eastAsia="Cambria" w:hAnsi="Arial" w:cs="Arial"/>
          <w:i/>
          <w:iCs/>
          <w:szCs w:val="22"/>
          <w:lang w:val="es-CR" w:eastAsia="en-US"/>
        </w:rPr>
      </w:pPr>
    </w:p>
    <w:p w14:paraId="0F2CE413" w14:textId="77777777" w:rsidR="00F87CD2" w:rsidRPr="00F87CD2" w:rsidRDefault="00F87CD2" w:rsidP="00F87CD2">
      <w:pPr>
        <w:tabs>
          <w:tab w:val="center" w:pos="4419"/>
        </w:tabs>
        <w:ind w:left="1276"/>
        <w:rPr>
          <w:rFonts w:ascii="Arial" w:eastAsia="Calibri" w:hAnsi="Arial" w:cs="Arial"/>
          <w:bCs/>
          <w:i/>
          <w:iCs/>
          <w:szCs w:val="22"/>
        </w:rPr>
      </w:pPr>
      <w:bookmarkStart w:id="3" w:name="_Hlk101544405"/>
      <w:r w:rsidRPr="00F87CD2">
        <w:rPr>
          <w:rFonts w:ascii="Arial" w:eastAsia="Calibri" w:hAnsi="Arial" w:cs="Arial"/>
          <w:bCs/>
          <w:i/>
          <w:iCs/>
          <w:szCs w:val="22"/>
        </w:rPr>
        <w:t>(…)”</w:t>
      </w:r>
    </w:p>
    <w:p w14:paraId="48366A6B" w14:textId="77777777" w:rsidR="00F87CD2" w:rsidRPr="00F87CD2" w:rsidRDefault="00F87CD2" w:rsidP="00F87CD2">
      <w:pPr>
        <w:tabs>
          <w:tab w:val="center" w:pos="4419"/>
        </w:tabs>
        <w:ind w:left="1276"/>
        <w:rPr>
          <w:rFonts w:ascii="Arial" w:eastAsia="Calibri" w:hAnsi="Arial" w:cs="Arial"/>
          <w:bCs/>
          <w:i/>
          <w:iCs/>
          <w:szCs w:val="22"/>
        </w:rPr>
      </w:pPr>
    </w:p>
    <w:bookmarkEnd w:id="3"/>
    <w:p w14:paraId="6A9D6994" w14:textId="77777777" w:rsidR="00F87CD2" w:rsidRPr="00F87CD2" w:rsidRDefault="00F87CD2" w:rsidP="00F87CD2">
      <w:pPr>
        <w:tabs>
          <w:tab w:val="center" w:pos="4419"/>
        </w:tabs>
        <w:rPr>
          <w:rFonts w:ascii="Arial" w:eastAsia="Calibri" w:hAnsi="Arial" w:cs="Arial"/>
          <w:szCs w:val="22"/>
        </w:rPr>
      </w:pPr>
      <w:r w:rsidRPr="00F87CD2">
        <w:rPr>
          <w:rFonts w:ascii="Arial" w:eastAsia="Calibri" w:hAnsi="Arial" w:cs="Arial"/>
          <w:b/>
          <w:szCs w:val="22"/>
        </w:rPr>
        <w:t>Artículo 6.-</w:t>
      </w:r>
      <w:r w:rsidRPr="00F87CD2">
        <w:rPr>
          <w:rFonts w:ascii="Arial" w:eastAsia="Calibri" w:hAnsi="Arial" w:cs="Arial"/>
          <w:szCs w:val="22"/>
        </w:rPr>
        <w:t xml:space="preserve"> Vigencia</w:t>
      </w:r>
      <w:bookmarkEnd w:id="2"/>
      <w:r w:rsidRPr="00F87CD2">
        <w:rPr>
          <w:rFonts w:ascii="Arial" w:eastAsia="Calibri" w:hAnsi="Arial" w:cs="Arial"/>
          <w:szCs w:val="22"/>
        </w:rPr>
        <w:tab/>
      </w:r>
    </w:p>
    <w:p w14:paraId="33E84362" w14:textId="77777777" w:rsidR="00F87CD2" w:rsidRPr="00F87CD2" w:rsidRDefault="00F87CD2" w:rsidP="00F87CD2">
      <w:pPr>
        <w:pStyle w:val="Prrafodelista"/>
        <w:numPr>
          <w:ilvl w:val="0"/>
          <w:numId w:val="36"/>
        </w:numPr>
        <w:spacing w:after="160" w:line="256" w:lineRule="auto"/>
        <w:ind w:left="567" w:hanging="567"/>
        <w:jc w:val="both"/>
        <w:rPr>
          <w:rFonts w:ascii="Arial" w:eastAsia="Calibri" w:hAnsi="Arial" w:cs="Arial"/>
          <w:szCs w:val="22"/>
        </w:rPr>
      </w:pPr>
      <w:r w:rsidRPr="00F87CD2">
        <w:rPr>
          <w:rFonts w:ascii="Arial" w:eastAsia="Calibri" w:hAnsi="Arial" w:cs="Arial"/>
          <w:szCs w:val="22"/>
        </w:rPr>
        <w:t>Lo dispuesto en los artículos 1, 4 y 5 inciso b) rigen a partir de la información con fecha valor 31 de octubre de 2022. El Sistema de Autogestión de Información Inmobiliaria (AIM) se encuentra disponible a partir del 11 de octubre de 2022.</w:t>
      </w:r>
    </w:p>
    <w:p w14:paraId="706DE0AA" w14:textId="77777777" w:rsidR="00F87CD2" w:rsidRPr="00F87CD2" w:rsidRDefault="00F87CD2" w:rsidP="00F87CD2">
      <w:pPr>
        <w:pStyle w:val="Prrafodelista"/>
        <w:jc w:val="both"/>
        <w:rPr>
          <w:rFonts w:ascii="Arial" w:eastAsia="Calibri" w:hAnsi="Arial" w:cs="Arial"/>
          <w:szCs w:val="22"/>
        </w:rPr>
      </w:pPr>
    </w:p>
    <w:p w14:paraId="4250C056" w14:textId="77777777" w:rsidR="00F87CD2" w:rsidRPr="00F87CD2" w:rsidRDefault="00F87CD2" w:rsidP="00F87CD2">
      <w:pPr>
        <w:pStyle w:val="Prrafodelista"/>
        <w:numPr>
          <w:ilvl w:val="0"/>
          <w:numId w:val="36"/>
        </w:numPr>
        <w:spacing w:after="160" w:line="256" w:lineRule="auto"/>
        <w:ind w:left="567" w:hanging="567"/>
        <w:jc w:val="both"/>
        <w:rPr>
          <w:rFonts w:ascii="Arial" w:eastAsia="Calibri" w:hAnsi="Arial" w:cs="Arial"/>
          <w:szCs w:val="22"/>
        </w:rPr>
      </w:pPr>
      <w:r w:rsidRPr="00F87CD2">
        <w:rPr>
          <w:rFonts w:ascii="Arial" w:eastAsia="Calibri" w:hAnsi="Arial" w:cs="Arial"/>
          <w:szCs w:val="22"/>
        </w:rPr>
        <w:t>Lo dispuesto en el artículo 2 inciso a) rige a partir de la información con fecha de corte del trimestre terminado en marzo de 2023.</w:t>
      </w:r>
    </w:p>
    <w:p w14:paraId="2EEF7058" w14:textId="77777777" w:rsidR="00F87CD2" w:rsidRPr="00F87CD2" w:rsidRDefault="00F87CD2" w:rsidP="00F87CD2">
      <w:pPr>
        <w:pStyle w:val="Prrafodelista"/>
        <w:jc w:val="both"/>
        <w:rPr>
          <w:rFonts w:ascii="Arial" w:eastAsia="Calibri" w:hAnsi="Arial" w:cs="Arial"/>
          <w:szCs w:val="22"/>
        </w:rPr>
      </w:pPr>
    </w:p>
    <w:p w14:paraId="32B5B64A" w14:textId="77777777" w:rsidR="00F87CD2" w:rsidRPr="00F87CD2" w:rsidRDefault="00F87CD2" w:rsidP="00F87CD2">
      <w:pPr>
        <w:pStyle w:val="Prrafodelista"/>
        <w:numPr>
          <w:ilvl w:val="0"/>
          <w:numId w:val="36"/>
        </w:numPr>
        <w:spacing w:after="160" w:line="256" w:lineRule="auto"/>
        <w:ind w:left="567" w:hanging="567"/>
        <w:jc w:val="both"/>
        <w:rPr>
          <w:rFonts w:ascii="Arial" w:eastAsia="Calibri" w:hAnsi="Arial" w:cs="Arial"/>
          <w:szCs w:val="22"/>
        </w:rPr>
      </w:pPr>
      <w:r w:rsidRPr="00F87CD2">
        <w:rPr>
          <w:rFonts w:ascii="Arial" w:eastAsia="Calibri" w:hAnsi="Arial" w:cs="Arial"/>
          <w:szCs w:val="22"/>
        </w:rPr>
        <w:t>Lo dispuesto en los demás artículos rige a partir del 22 de julio de 2022.</w:t>
      </w:r>
    </w:p>
    <w:p w14:paraId="001EF1F4" w14:textId="2367CEA7" w:rsidR="00F87CD2" w:rsidRPr="00F87CD2" w:rsidRDefault="00F87CD2" w:rsidP="00F87CD2">
      <w:pPr>
        <w:jc w:val="both"/>
        <w:rPr>
          <w:rFonts w:ascii="Arial" w:eastAsia="Calibri" w:hAnsi="Arial" w:cs="Arial"/>
          <w:sz w:val="24"/>
        </w:rPr>
      </w:pPr>
    </w:p>
    <w:p w14:paraId="6E7D8B86" w14:textId="57FC8646" w:rsidR="00B2356E" w:rsidRPr="00F87CD2" w:rsidRDefault="00B2356E" w:rsidP="00F87CD2">
      <w:pPr>
        <w:rPr>
          <w:rFonts w:ascii="Arial" w:hAnsi="Arial" w:cs="Arial"/>
          <w:sz w:val="24"/>
        </w:rPr>
      </w:pPr>
    </w:p>
    <w:p w14:paraId="748C062E" w14:textId="77777777" w:rsidR="00F87CD2" w:rsidRPr="00F87CD2" w:rsidRDefault="00F87CD2">
      <w:pPr>
        <w:rPr>
          <w:rFonts w:ascii="Arial" w:hAnsi="Arial" w:cs="Arial"/>
          <w:sz w:val="24"/>
        </w:rPr>
      </w:pPr>
    </w:p>
    <w:sectPr w:rsidR="00F87CD2" w:rsidRPr="00F87CD2" w:rsidSect="00880E31">
      <w:headerReference w:type="even" r:id="rId27"/>
      <w:headerReference w:type="default" r:id="rId28"/>
      <w:footerReference w:type="even" r:id="rId29"/>
      <w:footerReference w:type="default" r:id="rId30"/>
      <w:headerReference w:type="first" r:id="rId31"/>
      <w:footerReference w:type="first" r:id="rId3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C099" w14:textId="77777777" w:rsidR="0032775A" w:rsidRDefault="0032775A" w:rsidP="005A768E">
      <w:r>
        <w:separator/>
      </w:r>
    </w:p>
  </w:endnote>
  <w:endnote w:type="continuationSeparator" w:id="0">
    <w:p w14:paraId="3F981123" w14:textId="77777777" w:rsidR="0032775A" w:rsidRDefault="0032775A" w:rsidP="005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38CD" w14:textId="77777777" w:rsidR="003959B0" w:rsidRDefault="003959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569F" w14:textId="77777777" w:rsidR="003959B0" w:rsidRPr="003959B0" w:rsidRDefault="003959B0" w:rsidP="003959B0">
    <w:pPr>
      <w:pStyle w:val="Piedepgina"/>
      <w:pBdr>
        <w:top w:val="single" w:sz="4" w:space="1" w:color="D9D9D9"/>
      </w:pBdr>
      <w:rPr>
        <w:rFonts w:ascii="Arial" w:hAnsi="Arial" w:cs="Arial"/>
        <w:b/>
        <w:bCs/>
        <w:color w:val="1B75BB"/>
      </w:rPr>
    </w:pP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sidRPr="003959B0">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p w14:paraId="7599CC34" w14:textId="77777777" w:rsidR="003959B0" w:rsidRDefault="003959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594C" w14:textId="77777777" w:rsidR="003959B0" w:rsidRDefault="00395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A26B" w14:textId="77777777" w:rsidR="0032775A" w:rsidRDefault="0032775A" w:rsidP="005A768E">
      <w:r>
        <w:separator/>
      </w:r>
    </w:p>
  </w:footnote>
  <w:footnote w:type="continuationSeparator" w:id="0">
    <w:p w14:paraId="0B29AC37" w14:textId="77777777" w:rsidR="0032775A" w:rsidRDefault="0032775A" w:rsidP="005A768E">
      <w:r>
        <w:continuationSeparator/>
      </w:r>
    </w:p>
  </w:footnote>
  <w:footnote w:id="1">
    <w:p w14:paraId="3E34D28A" w14:textId="7D64D621" w:rsidR="00F87CD2" w:rsidRDefault="00F87CD2" w:rsidP="00F87CD2">
      <w:pPr>
        <w:jc w:val="both"/>
        <w:rPr>
          <w:rFonts w:cs="Arial"/>
          <w:lang w:val="es-MX"/>
        </w:rPr>
      </w:pPr>
      <w:r>
        <w:rPr>
          <w:rStyle w:val="Refdenotaalpie"/>
        </w:rPr>
        <w:footnoteRef/>
      </w:r>
      <w:r>
        <w:t xml:space="preserve"> </w:t>
      </w:r>
      <w:r w:rsidRPr="00F87CD2">
        <w:rPr>
          <w:rFonts w:ascii="Arial" w:hAnsi="Arial" w:cs="Arial"/>
          <w:iCs/>
          <w:noProof/>
          <w:sz w:val="20"/>
          <w:szCs w:val="20"/>
          <w:lang w:val="es-ES_tradnl"/>
        </w:rPr>
        <w:t xml:space="preserve">Superintendencia General de Valores. Despacho de la Superintendente. A las quince horas del veinte de julio del </w:t>
      </w:r>
      <w:r w:rsidRPr="005E6ECC">
        <w:rPr>
          <w:rFonts w:ascii="Arial" w:hAnsi="Arial" w:cs="Arial"/>
          <w:iCs/>
          <w:noProof/>
          <w:sz w:val="20"/>
          <w:szCs w:val="20"/>
          <w:lang w:val="es-ES_tradnl"/>
        </w:rPr>
        <w:t>2022.</w:t>
      </w:r>
      <w:r w:rsidRPr="005E6ECC">
        <w:rPr>
          <w:rFonts w:cs="Arial"/>
          <w:iCs/>
          <w:noProof/>
          <w:lang w:val="es-ES_tradnl"/>
        </w:rPr>
        <w:t xml:space="preserve">  </w:t>
      </w:r>
      <w:r w:rsidR="004F0CA7" w:rsidRPr="005E6ECC">
        <w:rPr>
          <w:rFonts w:ascii="Arial" w:hAnsi="Arial" w:cs="Arial"/>
          <w:sz w:val="20"/>
          <w:szCs w:val="20"/>
        </w:rPr>
        <w:t>Publicado en el Alcance Digital No. 163 del 01 de agosto del 2022.</w:t>
      </w:r>
    </w:p>
    <w:p w14:paraId="0B7DDB1E" w14:textId="77777777" w:rsidR="00F87CD2" w:rsidRDefault="00F87CD2" w:rsidP="00F87CD2">
      <w:pPr>
        <w:pStyle w:val="Textonotapie"/>
        <w:rPr>
          <w:lang w:val="es-MX"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E5BB" w14:textId="77777777" w:rsidR="003959B0" w:rsidRDefault="003959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8D0B" w14:textId="6CA23C8D" w:rsidR="003959B0" w:rsidRDefault="003959B0" w:rsidP="003959B0">
    <w:pPr>
      <w:pStyle w:val="Encabezado"/>
      <w:jc w:val="right"/>
    </w:pPr>
    <w:r>
      <w:rPr>
        <w:rFonts w:ascii="Calibri" w:hAnsi="Calibri" w:cs="Arial"/>
        <w:i/>
        <w:noProof/>
        <w:sz w:val="20"/>
        <w:szCs w:val="20"/>
        <w:lang w:val="es-CR" w:eastAsia="es-CR"/>
      </w:rPr>
      <w:drawing>
        <wp:inline distT="0" distB="0" distL="0" distR="0" wp14:anchorId="0B3EEFA0" wp14:editId="1FFF97B8">
          <wp:extent cx="1555750" cy="368300"/>
          <wp:effectExtent l="0" t="0" r="6350" b="0"/>
          <wp:docPr id="1" name="Imagen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06DE9027" w14:textId="7260EDDE" w:rsidR="003959B0" w:rsidRDefault="003959B0" w:rsidP="003959B0">
    <w:pPr>
      <w:pStyle w:val="Encabezado"/>
    </w:pPr>
    <w:r>
      <w:rPr>
        <w:noProof/>
      </w:rPr>
      <mc:AlternateContent>
        <mc:Choice Requires="wps">
          <w:drawing>
            <wp:anchor distT="4294967292" distB="4294967292" distL="114300" distR="114300" simplePos="0" relativeHeight="251658240" behindDoc="0" locked="0" layoutInCell="1" allowOverlap="1" wp14:anchorId="5F92511F" wp14:editId="2125B130">
              <wp:simplePos x="0" y="0"/>
              <wp:positionH relativeFrom="margin">
                <wp:align>right</wp:align>
              </wp:positionH>
              <wp:positionV relativeFrom="paragraph">
                <wp:posOffset>33020</wp:posOffset>
              </wp:positionV>
              <wp:extent cx="5575300" cy="6350"/>
              <wp:effectExtent l="0" t="0" r="25400" b="317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0" cy="63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91B6" id="Conector recto 4" o:spid="_x0000_s1026" style="position:absolute;flip:y;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7.8pt,2.6pt" to="8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9BBF" w14:textId="77777777" w:rsidR="003959B0" w:rsidRDefault="00395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9F5247E"/>
    <w:multiLevelType w:val="hybridMultilevel"/>
    <w:tmpl w:val="A0D6A23C"/>
    <w:lvl w:ilvl="0" w:tplc="A58C6C6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C50570"/>
    <w:multiLevelType w:val="hybridMultilevel"/>
    <w:tmpl w:val="EC40DA3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6C3292"/>
    <w:multiLevelType w:val="hybridMultilevel"/>
    <w:tmpl w:val="36DE43A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8B46130"/>
    <w:multiLevelType w:val="hybridMultilevel"/>
    <w:tmpl w:val="E638B832"/>
    <w:lvl w:ilvl="0" w:tplc="F0D26780">
      <w:start w:val="1"/>
      <w:numFmt w:val="decimal"/>
      <w:lvlText w:val="%1."/>
      <w:lvlJc w:val="left"/>
      <w:pPr>
        <w:ind w:left="720" w:hanging="360"/>
      </w:pPr>
      <w:rPr>
        <w:b w:val="0"/>
        <w:i w:val="0"/>
        <w:strike w:val="0"/>
        <w:dstrike w:val="0"/>
        <w:color w:val="000000" w:themeColor="text1"/>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1AD755F0"/>
    <w:multiLevelType w:val="hybridMultilevel"/>
    <w:tmpl w:val="94A025A8"/>
    <w:lvl w:ilvl="0" w:tplc="140A000F">
      <w:start w:val="1"/>
      <w:numFmt w:val="decimal"/>
      <w:lvlText w:val="%1."/>
      <w:lvlJc w:val="left"/>
      <w:pPr>
        <w:ind w:left="720" w:hanging="360"/>
      </w:pPr>
      <w:rPr>
        <w:b w:val="0"/>
      </w:rPr>
    </w:lvl>
    <w:lvl w:ilvl="1" w:tplc="24705A70">
      <w:start w:val="1"/>
      <w:numFmt w:val="lowerLetter"/>
      <w:lvlText w:val="%2)"/>
      <w:lvlJc w:val="left"/>
      <w:pPr>
        <w:ind w:left="1980" w:hanging="90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1C023D6D"/>
    <w:multiLevelType w:val="hybridMultilevel"/>
    <w:tmpl w:val="317246F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CAF0AF1"/>
    <w:multiLevelType w:val="hybridMultilevel"/>
    <w:tmpl w:val="E53CAC24"/>
    <w:lvl w:ilvl="0" w:tplc="140A0017">
      <w:start w:val="1"/>
      <w:numFmt w:val="lowerLetter"/>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26320113"/>
    <w:multiLevelType w:val="hybridMultilevel"/>
    <w:tmpl w:val="B2806FD8"/>
    <w:lvl w:ilvl="0" w:tplc="25C68C8E">
      <w:start w:val="1"/>
      <w:numFmt w:val="lowerLetter"/>
      <w:lvlText w:val="%1)"/>
      <w:lvlJc w:val="left"/>
      <w:pPr>
        <w:ind w:left="720"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590C3D"/>
    <w:multiLevelType w:val="hybridMultilevel"/>
    <w:tmpl w:val="4156CA24"/>
    <w:lvl w:ilvl="0" w:tplc="140A0017">
      <w:start w:val="1"/>
      <w:numFmt w:val="low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11" w15:restartNumberingAfterBreak="0">
    <w:nsid w:val="33E76D4B"/>
    <w:multiLevelType w:val="hybridMultilevel"/>
    <w:tmpl w:val="28222946"/>
    <w:lvl w:ilvl="0" w:tplc="D40A2CA4">
      <w:start w:val="1"/>
      <w:numFmt w:val="lowerLetter"/>
      <w:lvlText w:val="%1)"/>
      <w:lvlJc w:val="left"/>
      <w:pPr>
        <w:ind w:left="1211"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357B7CF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A3307E1"/>
    <w:multiLevelType w:val="hybridMultilevel"/>
    <w:tmpl w:val="DBDE65DA"/>
    <w:lvl w:ilvl="0" w:tplc="140A001B">
      <w:start w:val="1"/>
      <w:numFmt w:val="lowerRoman"/>
      <w:lvlText w:val="%1."/>
      <w:lvlJc w:val="right"/>
      <w:pPr>
        <w:ind w:left="1776" w:hanging="360"/>
      </w:pPr>
      <w:rPr>
        <w:b w:val="0"/>
        <w:bCs/>
      </w:rPr>
    </w:lvl>
    <w:lvl w:ilvl="1" w:tplc="140A0019">
      <w:start w:val="1"/>
      <w:numFmt w:val="lowerLetter"/>
      <w:lvlText w:val="%2."/>
      <w:lvlJc w:val="left"/>
      <w:pPr>
        <w:ind w:left="2005" w:hanging="360"/>
      </w:pPr>
    </w:lvl>
    <w:lvl w:ilvl="2" w:tplc="140A001B">
      <w:start w:val="1"/>
      <w:numFmt w:val="lowerRoman"/>
      <w:lvlText w:val="%3."/>
      <w:lvlJc w:val="right"/>
      <w:pPr>
        <w:ind w:left="2725" w:hanging="180"/>
      </w:pPr>
    </w:lvl>
    <w:lvl w:ilvl="3" w:tplc="140A000F">
      <w:start w:val="1"/>
      <w:numFmt w:val="decimal"/>
      <w:lvlText w:val="%4."/>
      <w:lvlJc w:val="left"/>
      <w:pPr>
        <w:ind w:left="3445" w:hanging="360"/>
      </w:pPr>
    </w:lvl>
    <w:lvl w:ilvl="4" w:tplc="140A0019">
      <w:start w:val="1"/>
      <w:numFmt w:val="lowerLetter"/>
      <w:lvlText w:val="%5."/>
      <w:lvlJc w:val="left"/>
      <w:pPr>
        <w:ind w:left="4165" w:hanging="360"/>
      </w:pPr>
    </w:lvl>
    <w:lvl w:ilvl="5" w:tplc="140A001B">
      <w:start w:val="1"/>
      <w:numFmt w:val="lowerRoman"/>
      <w:lvlText w:val="%6."/>
      <w:lvlJc w:val="right"/>
      <w:pPr>
        <w:ind w:left="4885" w:hanging="180"/>
      </w:pPr>
    </w:lvl>
    <w:lvl w:ilvl="6" w:tplc="140A000F">
      <w:start w:val="1"/>
      <w:numFmt w:val="decimal"/>
      <w:lvlText w:val="%7."/>
      <w:lvlJc w:val="left"/>
      <w:pPr>
        <w:ind w:left="5605" w:hanging="360"/>
      </w:pPr>
    </w:lvl>
    <w:lvl w:ilvl="7" w:tplc="140A0019">
      <w:start w:val="1"/>
      <w:numFmt w:val="lowerLetter"/>
      <w:lvlText w:val="%8."/>
      <w:lvlJc w:val="left"/>
      <w:pPr>
        <w:ind w:left="6325" w:hanging="360"/>
      </w:pPr>
    </w:lvl>
    <w:lvl w:ilvl="8" w:tplc="140A001B">
      <w:start w:val="1"/>
      <w:numFmt w:val="lowerRoman"/>
      <w:lvlText w:val="%9."/>
      <w:lvlJc w:val="right"/>
      <w:pPr>
        <w:ind w:left="7045" w:hanging="180"/>
      </w:pPr>
    </w:lvl>
  </w:abstractNum>
  <w:abstractNum w:abstractNumId="15" w15:restartNumberingAfterBreak="0">
    <w:nsid w:val="3AE359D2"/>
    <w:multiLevelType w:val="multilevel"/>
    <w:tmpl w:val="82A0C576"/>
    <w:lvl w:ilvl="0">
      <w:start w:val="3"/>
      <w:numFmt w:val="decimal"/>
      <w:lvlText w:val="%1."/>
      <w:lvlJc w:val="left"/>
      <w:pPr>
        <w:tabs>
          <w:tab w:val="num" w:pos="360"/>
        </w:tabs>
        <w:ind w:left="360" w:hanging="360"/>
      </w:pPr>
      <w:rPr>
        <w:rFonts w:hint="default"/>
        <w:b/>
        <w:i w:val="0"/>
        <w:color w:val="FFFFFF"/>
        <w:sz w:val="4"/>
        <w:szCs w:val="4"/>
      </w:rPr>
    </w:lvl>
    <w:lvl w:ilvl="1">
      <w:start w:val="1"/>
      <w:numFmt w:val="decimal"/>
      <w:lvlText w:val="%1.%2."/>
      <w:lvlJc w:val="left"/>
      <w:pPr>
        <w:tabs>
          <w:tab w:val="num" w:pos="792"/>
        </w:tabs>
        <w:ind w:left="792" w:hanging="432"/>
      </w:pPr>
      <w:rPr>
        <w:rFonts w:hint="default"/>
        <w:b w:val="0"/>
        <w:i w:val="0"/>
        <w:sz w:val="22"/>
        <w:szCs w:val="16"/>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744"/>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16" w15:restartNumberingAfterBreak="0">
    <w:nsid w:val="3F346C2E"/>
    <w:multiLevelType w:val="hybridMultilevel"/>
    <w:tmpl w:val="34448716"/>
    <w:lvl w:ilvl="0" w:tplc="31A0341A">
      <w:start w:val="1"/>
      <w:numFmt w:val="lowerLetter"/>
      <w:pStyle w:val="incisos"/>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2806BEA"/>
    <w:multiLevelType w:val="hybridMultilevel"/>
    <w:tmpl w:val="9D32FF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9440118"/>
    <w:multiLevelType w:val="hybridMultilevel"/>
    <w:tmpl w:val="4E7A1A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C4C50FB"/>
    <w:multiLevelType w:val="hybridMultilevel"/>
    <w:tmpl w:val="28222946"/>
    <w:lvl w:ilvl="0" w:tplc="D40A2CA4">
      <w:start w:val="1"/>
      <w:numFmt w:val="lowerLetter"/>
      <w:lvlText w:val="%1)"/>
      <w:lvlJc w:val="left"/>
      <w:pPr>
        <w:ind w:left="1211"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4ED50A52"/>
    <w:multiLevelType w:val="hybridMultilevel"/>
    <w:tmpl w:val="B85E8EB4"/>
    <w:lvl w:ilvl="0" w:tplc="D4CC4FE6">
      <w:start w:val="1"/>
      <w:numFmt w:val="upperLetter"/>
      <w:pStyle w:val="Ttulo5"/>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31F95"/>
    <w:multiLevelType w:val="hybridMultilevel"/>
    <w:tmpl w:val="1C4C0AF0"/>
    <w:lvl w:ilvl="0" w:tplc="DBC48464">
      <w:start w:val="1"/>
      <w:numFmt w:val="lowerLetter"/>
      <w:lvlText w:val="%1)"/>
      <w:lvlJc w:val="left"/>
      <w:pPr>
        <w:ind w:left="1211"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78BE6843"/>
    <w:multiLevelType w:val="hybridMultilevel"/>
    <w:tmpl w:val="1D2C7C3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D920D3B"/>
    <w:multiLevelType w:val="hybridMultilevel"/>
    <w:tmpl w:val="0066AC7C"/>
    <w:lvl w:ilvl="0" w:tplc="17AA22B4">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3"/>
  </w:num>
  <w:num w:numId="3">
    <w:abstractNumId w:val="0"/>
  </w:num>
  <w:num w:numId="4">
    <w:abstractNumId w:val="20"/>
  </w:num>
  <w:num w:numId="5">
    <w:abstractNumId w:val="1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3"/>
  </w:num>
  <w:num w:numId="10">
    <w:abstractNumId w:val="23"/>
  </w:num>
  <w:num w:numId="11">
    <w:abstractNumId w:val="15"/>
  </w:num>
  <w:num w:numId="12">
    <w:abstractNumId w:val="6"/>
  </w:num>
  <w:num w:numId="13">
    <w:abstractNumId w:val="18"/>
  </w:num>
  <w:num w:numId="14">
    <w:abstractNumId w:val="12"/>
  </w:num>
  <w:num w:numId="15">
    <w:abstractNumId w:val="2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8E"/>
    <w:rsid w:val="00007388"/>
    <w:rsid w:val="00015BA6"/>
    <w:rsid w:val="00031E3C"/>
    <w:rsid w:val="000702E4"/>
    <w:rsid w:val="000C43F5"/>
    <w:rsid w:val="000C62EE"/>
    <w:rsid w:val="000F4C2E"/>
    <w:rsid w:val="00134708"/>
    <w:rsid w:val="001B1484"/>
    <w:rsid w:val="00211A42"/>
    <w:rsid w:val="00212A1A"/>
    <w:rsid w:val="00227AA2"/>
    <w:rsid w:val="00237AB7"/>
    <w:rsid w:val="002445BF"/>
    <w:rsid w:val="002462B7"/>
    <w:rsid w:val="00272406"/>
    <w:rsid w:val="0032775A"/>
    <w:rsid w:val="00341FBE"/>
    <w:rsid w:val="003452B3"/>
    <w:rsid w:val="003959B0"/>
    <w:rsid w:val="003B50ED"/>
    <w:rsid w:val="004A41F7"/>
    <w:rsid w:val="004F0CA7"/>
    <w:rsid w:val="00572619"/>
    <w:rsid w:val="00581D39"/>
    <w:rsid w:val="005A768E"/>
    <w:rsid w:val="005E6ECC"/>
    <w:rsid w:val="00616D90"/>
    <w:rsid w:val="0063177A"/>
    <w:rsid w:val="006354AB"/>
    <w:rsid w:val="00657F02"/>
    <w:rsid w:val="006B1248"/>
    <w:rsid w:val="006C1493"/>
    <w:rsid w:val="006E491B"/>
    <w:rsid w:val="007068C2"/>
    <w:rsid w:val="0076523E"/>
    <w:rsid w:val="00772D1A"/>
    <w:rsid w:val="00783B2C"/>
    <w:rsid w:val="007B4C1A"/>
    <w:rsid w:val="0082122F"/>
    <w:rsid w:val="0084108F"/>
    <w:rsid w:val="00873D09"/>
    <w:rsid w:val="00880E31"/>
    <w:rsid w:val="008E6D41"/>
    <w:rsid w:val="0093370A"/>
    <w:rsid w:val="0093499C"/>
    <w:rsid w:val="009759B1"/>
    <w:rsid w:val="00982F89"/>
    <w:rsid w:val="00987928"/>
    <w:rsid w:val="009B31B2"/>
    <w:rsid w:val="00A748BA"/>
    <w:rsid w:val="00AA48A8"/>
    <w:rsid w:val="00AF6325"/>
    <w:rsid w:val="00B2356E"/>
    <w:rsid w:val="00B44D0F"/>
    <w:rsid w:val="00B45F9C"/>
    <w:rsid w:val="00C26D9C"/>
    <w:rsid w:val="00C34BC2"/>
    <w:rsid w:val="00CD5F5E"/>
    <w:rsid w:val="00CE39B3"/>
    <w:rsid w:val="00CF1CDA"/>
    <w:rsid w:val="00D92327"/>
    <w:rsid w:val="00DE26A5"/>
    <w:rsid w:val="00DF6B05"/>
    <w:rsid w:val="00E13153"/>
    <w:rsid w:val="00E642AA"/>
    <w:rsid w:val="00ED49D9"/>
    <w:rsid w:val="00F37284"/>
    <w:rsid w:val="00F4079E"/>
    <w:rsid w:val="00F47843"/>
    <w:rsid w:val="00F77EA4"/>
    <w:rsid w:val="00F87CD2"/>
    <w:rsid w:val="00FA5D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A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8E"/>
    <w:pPr>
      <w:spacing w:after="0" w:line="240" w:lineRule="auto"/>
    </w:pPr>
    <w:rPr>
      <w:rFonts w:ascii="Times New Roman" w:eastAsia="Times New Roman" w:hAnsi="Times New Roman" w:cs="Times New Roman"/>
      <w:szCs w:val="24"/>
      <w:lang w:val="es-ES" w:eastAsia="es-ES"/>
    </w:rPr>
  </w:style>
  <w:style w:type="paragraph" w:styleId="Ttulo1">
    <w:name w:val="heading 1"/>
    <w:basedOn w:val="Normal"/>
    <w:next w:val="Normal"/>
    <w:link w:val="Ttulo1Car"/>
    <w:uiPriority w:val="9"/>
    <w:qFormat/>
    <w:rsid w:val="00DF6B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CAPÍTULO,Car10"/>
    <w:basedOn w:val="Normal"/>
    <w:next w:val="Normal"/>
    <w:link w:val="Ttulo2Car"/>
    <w:uiPriority w:val="1"/>
    <w:semiHidden/>
    <w:unhideWhenUsed/>
    <w:qFormat/>
    <w:rsid w:val="00F87CD2"/>
    <w:pPr>
      <w:keepNext/>
      <w:jc w:val="both"/>
      <w:outlineLvl w:val="1"/>
    </w:pPr>
    <w:rPr>
      <w:sz w:val="28"/>
      <w:szCs w:val="20"/>
    </w:rPr>
  </w:style>
  <w:style w:type="paragraph" w:styleId="Ttulo4">
    <w:name w:val="heading 4"/>
    <w:basedOn w:val="Normal"/>
    <w:next w:val="Normal"/>
    <w:link w:val="Ttulo4Car"/>
    <w:uiPriority w:val="9"/>
    <w:semiHidden/>
    <w:unhideWhenUsed/>
    <w:qFormat/>
    <w:rsid w:val="000702E4"/>
    <w:pPr>
      <w:keepNext/>
      <w:keepLines/>
      <w:spacing w:before="40"/>
      <w:outlineLvl w:val="3"/>
    </w:pPr>
    <w:rPr>
      <w:rFonts w:asciiTheme="majorHAnsi" w:eastAsiaTheme="majorEastAsia" w:hAnsiTheme="majorHAnsi" w:cstheme="majorBidi"/>
      <w:i/>
      <w:iCs/>
      <w:color w:val="2F5496" w:themeColor="accent1" w:themeShade="BF"/>
      <w:lang w:val="es-CR"/>
    </w:rPr>
  </w:style>
  <w:style w:type="paragraph" w:styleId="Ttulo5">
    <w:name w:val="heading 5"/>
    <w:aliases w:val="ANEXO NIVEL 2"/>
    <w:basedOn w:val="Normal"/>
    <w:next w:val="Numeracin"/>
    <w:link w:val="Ttulo5Car"/>
    <w:qFormat/>
    <w:rsid w:val="003959B0"/>
    <w:pPr>
      <w:keepNext/>
      <w:numPr>
        <w:numId w:val="4"/>
      </w:numPr>
      <w:spacing w:before="120"/>
      <w:jc w:val="both"/>
      <w:outlineLvl w:val="4"/>
    </w:pPr>
    <w:rPr>
      <w:rFonts w:eastAsia="Arial Unicode M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5A768E"/>
    <w:pPr>
      <w:spacing w:before="120"/>
      <w:jc w:val="both"/>
    </w:pPr>
  </w:style>
  <w:style w:type="paragraph" w:customStyle="1" w:styleId="Numeracin">
    <w:name w:val="Numeración"/>
    <w:basedOn w:val="Textodereglamento"/>
    <w:link w:val="NumeracinChar"/>
    <w:qFormat/>
    <w:rsid w:val="005A768E"/>
    <w:pPr>
      <w:numPr>
        <w:numId w:val="1"/>
      </w:numPr>
    </w:pPr>
  </w:style>
  <w:style w:type="character" w:customStyle="1" w:styleId="TextodereglamentoChar">
    <w:name w:val="Texto de reglamento Char"/>
    <w:link w:val="Textodereglamento"/>
    <w:rsid w:val="005A768E"/>
    <w:rPr>
      <w:rFonts w:ascii="Times New Roman" w:eastAsia="Times New Roman" w:hAnsi="Times New Roman" w:cs="Times New Roman"/>
      <w:szCs w:val="24"/>
      <w:lang w:val="es-ES" w:eastAsia="es-ES"/>
    </w:rPr>
  </w:style>
  <w:style w:type="character" w:customStyle="1" w:styleId="NumeracinChar">
    <w:name w:val="Numeración Char"/>
    <w:link w:val="Numeracin"/>
    <w:rsid w:val="005A768E"/>
    <w:rPr>
      <w:rFonts w:ascii="Times New Roman" w:eastAsia="Times New Roman" w:hAnsi="Times New Roman" w:cs="Times New Roman"/>
      <w:szCs w:val="24"/>
      <w:lang w:val="es-ES" w:eastAsia="es-ES"/>
    </w:rPr>
  </w:style>
  <w:style w:type="paragraph" w:styleId="Textoindependiente">
    <w:name w:val="Body Text"/>
    <w:basedOn w:val="Normal"/>
    <w:link w:val="TextoindependienteCar"/>
    <w:uiPriority w:val="99"/>
    <w:rsid w:val="005A768E"/>
    <w:pPr>
      <w:spacing w:after="120"/>
    </w:pPr>
  </w:style>
  <w:style w:type="character" w:customStyle="1" w:styleId="TextoindependienteCar">
    <w:name w:val="Texto independiente Car"/>
    <w:basedOn w:val="Fuentedeprrafopredeter"/>
    <w:link w:val="Textoindependiente"/>
    <w:uiPriority w:val="99"/>
    <w:rsid w:val="005A768E"/>
    <w:rPr>
      <w:rFonts w:ascii="Times New Roman" w:eastAsia="Times New Roman" w:hAnsi="Times New Roman" w:cs="Times New Roman"/>
      <w:szCs w:val="24"/>
      <w:lang w:val="es-ES" w:eastAsia="es-ES"/>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5A768E"/>
    <w:pPr>
      <w:ind w:left="720"/>
      <w:contextualSpacing/>
    </w:p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nhideWhenUsed/>
    <w:rsid w:val="005A768E"/>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rsid w:val="005A768E"/>
    <w:rPr>
      <w:rFonts w:ascii="Times New Roman" w:eastAsia="Times New Roman" w:hAnsi="Times New Roman" w:cs="Times New Roman"/>
      <w:sz w:val="20"/>
      <w:szCs w:val="20"/>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iPriority w:val="99"/>
    <w:unhideWhenUsed/>
    <w:qFormat/>
    <w:rsid w:val="005A768E"/>
    <w:rPr>
      <w:vertAlign w:val="superscript"/>
    </w:rPr>
  </w:style>
  <w:style w:type="paragraph" w:styleId="Encabezado">
    <w:name w:val="header"/>
    <w:basedOn w:val="Normal"/>
    <w:link w:val="EncabezadoCar"/>
    <w:uiPriority w:val="99"/>
    <w:unhideWhenUsed/>
    <w:rsid w:val="00CD5F5E"/>
    <w:pPr>
      <w:tabs>
        <w:tab w:val="center" w:pos="4419"/>
        <w:tab w:val="right" w:pos="8838"/>
      </w:tabs>
    </w:pPr>
  </w:style>
  <w:style w:type="character" w:customStyle="1" w:styleId="EncabezadoCar">
    <w:name w:val="Encabezado Car"/>
    <w:basedOn w:val="Fuentedeprrafopredeter"/>
    <w:link w:val="Encabezado"/>
    <w:uiPriority w:val="99"/>
    <w:rsid w:val="00CD5F5E"/>
    <w:rPr>
      <w:rFonts w:ascii="Times New Roman" w:eastAsia="Times New Roman" w:hAnsi="Times New Roman" w:cs="Times New Roman"/>
      <w:szCs w:val="24"/>
      <w:lang w:val="es-ES" w:eastAsia="es-ES"/>
    </w:rPr>
  </w:style>
  <w:style w:type="paragraph" w:styleId="Piedepgina">
    <w:name w:val="footer"/>
    <w:basedOn w:val="Normal"/>
    <w:link w:val="PiedepginaCar"/>
    <w:uiPriority w:val="99"/>
    <w:unhideWhenUsed/>
    <w:rsid w:val="00CD5F5E"/>
    <w:pPr>
      <w:tabs>
        <w:tab w:val="center" w:pos="4419"/>
        <w:tab w:val="right" w:pos="8838"/>
      </w:tabs>
    </w:pPr>
  </w:style>
  <w:style w:type="character" w:customStyle="1" w:styleId="PiedepginaCar">
    <w:name w:val="Pie de página Car"/>
    <w:basedOn w:val="Fuentedeprrafopredeter"/>
    <w:link w:val="Piedepgina"/>
    <w:uiPriority w:val="99"/>
    <w:rsid w:val="00CD5F5E"/>
    <w:rPr>
      <w:rFonts w:ascii="Times New Roman" w:eastAsia="Times New Roman" w:hAnsi="Times New Roman" w:cs="Times New Roman"/>
      <w:szCs w:val="24"/>
      <w:lang w:val="es-ES" w:eastAsia="es-ES"/>
    </w:rPr>
  </w:style>
  <w:style w:type="character" w:customStyle="1" w:styleId="Ttulo5Car">
    <w:name w:val="Título 5 Car"/>
    <w:aliases w:val="ANEXO NIVEL 2 Car"/>
    <w:basedOn w:val="Fuentedeprrafopredeter"/>
    <w:link w:val="Ttulo5"/>
    <w:rsid w:val="003959B0"/>
    <w:rPr>
      <w:rFonts w:ascii="Times New Roman" w:eastAsia="Arial Unicode MS" w:hAnsi="Times New Roman" w:cs="Arial"/>
      <w:b/>
      <w:lang w:val="es-ES" w:eastAsia="es-ES"/>
    </w:rPr>
  </w:style>
  <w:style w:type="character" w:customStyle="1" w:styleId="Ttulo1Car">
    <w:name w:val="Título 1 Car"/>
    <w:basedOn w:val="Fuentedeprrafopredeter"/>
    <w:link w:val="Ttulo1"/>
    <w:uiPriority w:val="9"/>
    <w:rsid w:val="00DF6B05"/>
    <w:rPr>
      <w:rFonts w:asciiTheme="majorHAnsi" w:eastAsiaTheme="majorEastAsia" w:hAnsiTheme="majorHAnsi" w:cstheme="majorBidi"/>
      <w:color w:val="2F5496" w:themeColor="accent1" w:themeShade="BF"/>
      <w:sz w:val="32"/>
      <w:szCs w:val="32"/>
      <w:lang w:val="es-ES" w:eastAsia="es-ES"/>
    </w:rPr>
  </w:style>
  <w:style w:type="paragraph" w:styleId="Ttulo">
    <w:name w:val="Title"/>
    <w:basedOn w:val="Normal"/>
    <w:link w:val="TtuloCar"/>
    <w:qFormat/>
    <w:rsid w:val="00DF6B05"/>
    <w:pPr>
      <w:widowControl w:val="0"/>
      <w:jc w:val="center"/>
      <w:outlineLvl w:val="0"/>
    </w:pPr>
    <w:rPr>
      <w:rFonts w:ascii="Arial" w:hAnsi="Arial"/>
      <w:b/>
      <w:i/>
      <w:sz w:val="24"/>
      <w:lang w:val="es-CR" w:eastAsia="en-US"/>
    </w:rPr>
  </w:style>
  <w:style w:type="character" w:customStyle="1" w:styleId="TtuloCar">
    <w:name w:val="Título Car"/>
    <w:basedOn w:val="Fuentedeprrafopredeter"/>
    <w:link w:val="Ttulo"/>
    <w:rsid w:val="00DF6B05"/>
    <w:rPr>
      <w:rFonts w:ascii="Arial" w:eastAsia="Times New Roman" w:hAnsi="Arial" w:cs="Times New Roman"/>
      <w:b/>
      <w:i/>
      <w:sz w:val="24"/>
      <w:szCs w:val="24"/>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DF6B05"/>
    <w:rPr>
      <w:rFonts w:ascii="Times New Roman" w:eastAsia="Times New Roman" w:hAnsi="Times New Roman" w:cs="Times New Roman"/>
      <w:szCs w:val="24"/>
      <w:lang w:val="es-ES" w:eastAsia="es-ES"/>
    </w:rPr>
  </w:style>
  <w:style w:type="character" w:customStyle="1" w:styleId="PuestoCar">
    <w:name w:val="Puesto Car"/>
    <w:uiPriority w:val="10"/>
    <w:rsid w:val="00DF6B05"/>
    <w:rPr>
      <w:rFonts w:ascii="Arial" w:eastAsia="Times New Roman" w:hAnsi="Arial" w:cs="Times New Roman"/>
      <w:b/>
      <w:i/>
      <w:sz w:val="24"/>
      <w:szCs w:val="24"/>
      <w:lang w:val="es-CR"/>
    </w:rPr>
  </w:style>
  <w:style w:type="paragraph" w:customStyle="1" w:styleId="incisos">
    <w:name w:val="incisos"/>
    <w:basedOn w:val="Normal"/>
    <w:qFormat/>
    <w:rsid w:val="00DF6B05"/>
    <w:pPr>
      <w:numPr>
        <w:numId w:val="6"/>
      </w:numPr>
      <w:spacing w:before="60"/>
      <w:jc w:val="both"/>
    </w:pPr>
    <w:rPr>
      <w:rFonts w:eastAsiaTheme="minorHAnsi"/>
      <w:szCs w:val="22"/>
      <w:lang w:val="es-CR"/>
    </w:rPr>
  </w:style>
  <w:style w:type="table" w:styleId="Tablaconcuadrcula">
    <w:name w:val="Table Grid"/>
    <w:basedOn w:val="Tablanormal"/>
    <w:uiPriority w:val="39"/>
    <w:rsid w:val="00DF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semiHidden/>
    <w:unhideWhenUsed/>
    <w:rsid w:val="000702E4"/>
    <w:pPr>
      <w:spacing w:after="120" w:line="480" w:lineRule="auto"/>
    </w:pPr>
  </w:style>
  <w:style w:type="character" w:customStyle="1" w:styleId="Textoindependiente2Car">
    <w:name w:val="Texto independiente 2 Car"/>
    <w:basedOn w:val="Fuentedeprrafopredeter"/>
    <w:link w:val="Textoindependiente2"/>
    <w:semiHidden/>
    <w:rsid w:val="000702E4"/>
    <w:rPr>
      <w:rFonts w:ascii="Times New Roman" w:eastAsia="Times New Roman" w:hAnsi="Times New Roman" w:cs="Times New Roman"/>
      <w:szCs w:val="24"/>
      <w:lang w:val="es-ES" w:eastAsia="es-ES"/>
    </w:rPr>
  </w:style>
  <w:style w:type="paragraph" w:styleId="Textoindependiente3">
    <w:name w:val="Body Text 3"/>
    <w:basedOn w:val="Normal"/>
    <w:link w:val="Textoindependiente3Car"/>
    <w:semiHidden/>
    <w:unhideWhenUsed/>
    <w:rsid w:val="000702E4"/>
    <w:pPr>
      <w:spacing w:after="120"/>
    </w:pPr>
    <w:rPr>
      <w:sz w:val="16"/>
      <w:szCs w:val="16"/>
    </w:rPr>
  </w:style>
  <w:style w:type="character" w:customStyle="1" w:styleId="Textoindependiente3Car">
    <w:name w:val="Texto independiente 3 Car"/>
    <w:basedOn w:val="Fuentedeprrafopredeter"/>
    <w:link w:val="Textoindependiente3"/>
    <w:semiHidden/>
    <w:rsid w:val="000702E4"/>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uiPriority w:val="9"/>
    <w:semiHidden/>
    <w:rsid w:val="000702E4"/>
    <w:rPr>
      <w:rFonts w:asciiTheme="majorHAnsi" w:eastAsiaTheme="majorEastAsia" w:hAnsiTheme="majorHAnsi" w:cstheme="majorBidi"/>
      <w:i/>
      <w:iCs/>
      <w:color w:val="2F5496" w:themeColor="accent1" w:themeShade="BF"/>
      <w:szCs w:val="24"/>
      <w:lang w:eastAsia="es-ES"/>
    </w:rPr>
  </w:style>
  <w:style w:type="paragraph" w:customStyle="1" w:styleId="CNV">
    <w:name w:val="CNV"/>
    <w:basedOn w:val="Normal"/>
    <w:rsid w:val="000702E4"/>
    <w:pPr>
      <w:jc w:val="both"/>
    </w:pPr>
    <w:rPr>
      <w:sz w:val="24"/>
      <w:szCs w:val="20"/>
      <w:lang w:val="es-ES_tradnl" w:eastAsia="en-US"/>
    </w:rPr>
  </w:style>
  <w:style w:type="character" w:customStyle="1" w:styleId="Ttulo2Car">
    <w:name w:val="Título 2 Car"/>
    <w:aliases w:val="CAPÍTULO Car,Car10 Car"/>
    <w:basedOn w:val="Fuentedeprrafopredeter"/>
    <w:link w:val="Ttulo2"/>
    <w:uiPriority w:val="1"/>
    <w:semiHidden/>
    <w:rsid w:val="00F87CD2"/>
    <w:rPr>
      <w:rFonts w:ascii="Times New Roman" w:eastAsia="Times New Roman" w:hAnsi="Times New Roman" w:cs="Times New Roman"/>
      <w:sz w:val="28"/>
      <w:szCs w:val="20"/>
      <w:lang w:val="es-ES" w:eastAsia="es-ES"/>
    </w:rPr>
  </w:style>
  <w:style w:type="character" w:styleId="Hipervnculo">
    <w:name w:val="Hyperlink"/>
    <w:basedOn w:val="Fuentedeprrafopredeter"/>
    <w:uiPriority w:val="99"/>
    <w:semiHidden/>
    <w:unhideWhenUsed/>
    <w:rsid w:val="00F87CD2"/>
    <w:rPr>
      <w:color w:val="0563C1" w:themeColor="hyperlink"/>
      <w:u w:val="single"/>
    </w:rPr>
  </w:style>
  <w:style w:type="character" w:styleId="Hipervnculovisitado">
    <w:name w:val="FollowedHyperlink"/>
    <w:basedOn w:val="Fuentedeprrafopredeter"/>
    <w:uiPriority w:val="99"/>
    <w:semiHidden/>
    <w:unhideWhenUsed/>
    <w:rsid w:val="00F87CD2"/>
    <w:rPr>
      <w:color w:val="954F72" w:themeColor="followedHyperlink"/>
      <w:u w:val="single"/>
    </w:rPr>
  </w:style>
  <w:style w:type="character" w:customStyle="1" w:styleId="Ttulo2Car1">
    <w:name w:val="Título 2 Car1"/>
    <w:aliases w:val="CAPÍTULO Car1,Car10 Car1"/>
    <w:basedOn w:val="Fuentedeprrafopredeter"/>
    <w:uiPriority w:val="1"/>
    <w:semiHidden/>
    <w:rsid w:val="00F87CD2"/>
    <w:rPr>
      <w:rFonts w:asciiTheme="majorHAnsi" w:eastAsiaTheme="majorEastAsia" w:hAnsiTheme="majorHAnsi" w:cstheme="majorBidi"/>
      <w:color w:val="2F5496" w:themeColor="accent1" w:themeShade="BF"/>
      <w:sz w:val="26"/>
      <w:szCs w:val="26"/>
      <w:lang w:val="es-ES"/>
    </w:rPr>
  </w:style>
  <w:style w:type="paragraph" w:customStyle="1" w:styleId="msonormal0">
    <w:name w:val="msonormal"/>
    <w:basedOn w:val="Normal"/>
    <w:rsid w:val="00F87CD2"/>
    <w:pPr>
      <w:spacing w:before="100" w:beforeAutospacing="1" w:after="100" w:afterAutospacing="1"/>
    </w:pPr>
    <w:rPr>
      <w:sz w:val="24"/>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basedOn w:val="Fuentedeprrafopredeter"/>
    <w:semiHidden/>
    <w:rsid w:val="00F87CD2"/>
    <w:rPr>
      <w:rFonts w:ascii="Arial" w:hAnsi="Arial"/>
      <w:sz w:val="20"/>
      <w:szCs w:val="20"/>
      <w:lang w:val="es-ES"/>
    </w:rPr>
  </w:style>
  <w:style w:type="paragraph" w:styleId="Textocomentario">
    <w:name w:val="annotation text"/>
    <w:basedOn w:val="Normal"/>
    <w:link w:val="TextocomentarioCar"/>
    <w:uiPriority w:val="99"/>
    <w:semiHidden/>
    <w:unhideWhenUsed/>
    <w:rsid w:val="00F87CD2"/>
    <w:pPr>
      <w:spacing w:after="160"/>
    </w:pPr>
    <w:rPr>
      <w:rFonts w:ascii="Arial" w:eastAsiaTheme="minorHAnsi" w:hAnsi="Arial" w:cstheme="minorBidi"/>
      <w:sz w:val="20"/>
      <w:szCs w:val="20"/>
      <w:lang w:eastAsia="en-US"/>
    </w:rPr>
  </w:style>
  <w:style w:type="character" w:customStyle="1" w:styleId="TextocomentarioCar">
    <w:name w:val="Texto comentario Car"/>
    <w:basedOn w:val="Fuentedeprrafopredeter"/>
    <w:link w:val="Textocomentario"/>
    <w:uiPriority w:val="99"/>
    <w:semiHidden/>
    <w:rsid w:val="00F87CD2"/>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7CD2"/>
    <w:rPr>
      <w:b/>
      <w:bCs/>
    </w:rPr>
  </w:style>
  <w:style w:type="character" w:customStyle="1" w:styleId="AsuntodelcomentarioCar">
    <w:name w:val="Asunto del comentario Car"/>
    <w:basedOn w:val="TextocomentarioCar"/>
    <w:link w:val="Asuntodelcomentario"/>
    <w:uiPriority w:val="99"/>
    <w:semiHidden/>
    <w:rsid w:val="00F87CD2"/>
    <w:rPr>
      <w:rFonts w:ascii="Arial" w:hAnsi="Arial"/>
      <w:b/>
      <w:bCs/>
      <w:sz w:val="20"/>
      <w:szCs w:val="20"/>
      <w:lang w:val="es-ES"/>
    </w:rPr>
  </w:style>
  <w:style w:type="paragraph" w:styleId="Textodeglobo">
    <w:name w:val="Balloon Text"/>
    <w:basedOn w:val="Normal"/>
    <w:link w:val="TextodegloboCar"/>
    <w:uiPriority w:val="99"/>
    <w:semiHidden/>
    <w:unhideWhenUsed/>
    <w:rsid w:val="00F87CD2"/>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F87CD2"/>
    <w:rPr>
      <w:rFonts w:ascii="Segoe UI" w:hAnsi="Segoe UI" w:cs="Segoe UI"/>
      <w:sz w:val="18"/>
      <w:szCs w:val="18"/>
      <w:lang w:val="es-ES"/>
    </w:rPr>
  </w:style>
  <w:style w:type="paragraph" w:styleId="Sinespaciado">
    <w:name w:val="No Spacing"/>
    <w:uiPriority w:val="1"/>
    <w:qFormat/>
    <w:rsid w:val="00F87CD2"/>
    <w:pPr>
      <w:spacing w:after="0" w:line="240" w:lineRule="auto"/>
    </w:pPr>
    <w:rPr>
      <w:rFonts w:ascii="Arial" w:hAnsi="Arial"/>
      <w:lang w:val="es-ES"/>
    </w:rPr>
  </w:style>
  <w:style w:type="character" w:styleId="Refdecomentario">
    <w:name w:val="annotation reference"/>
    <w:basedOn w:val="Fuentedeprrafopredeter"/>
    <w:uiPriority w:val="99"/>
    <w:semiHidden/>
    <w:unhideWhenUsed/>
    <w:rsid w:val="00F87CD2"/>
    <w:rPr>
      <w:sz w:val="16"/>
      <w:szCs w:val="16"/>
    </w:rPr>
  </w:style>
  <w:style w:type="table" w:customStyle="1" w:styleId="Tablaconcuadrcula1">
    <w:name w:val="Tabla con cuadrícula1"/>
    <w:basedOn w:val="Tablanormal"/>
    <w:uiPriority w:val="39"/>
    <w:rsid w:val="00F87C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F87C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F87C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79773">
      <w:bodyDiv w:val="1"/>
      <w:marLeft w:val="0"/>
      <w:marRight w:val="0"/>
      <w:marTop w:val="0"/>
      <w:marBottom w:val="0"/>
      <w:divBdr>
        <w:top w:val="none" w:sz="0" w:space="0" w:color="auto"/>
        <w:left w:val="none" w:sz="0" w:space="0" w:color="auto"/>
        <w:bottom w:val="none" w:sz="0" w:space="0" w:color="auto"/>
        <w:right w:val="none" w:sz="0" w:space="0" w:color="auto"/>
      </w:divBdr>
    </w:div>
    <w:div w:id="815806799">
      <w:bodyDiv w:val="1"/>
      <w:marLeft w:val="0"/>
      <w:marRight w:val="0"/>
      <w:marTop w:val="0"/>
      <w:marBottom w:val="0"/>
      <w:divBdr>
        <w:top w:val="none" w:sz="0" w:space="0" w:color="auto"/>
        <w:left w:val="none" w:sz="0" w:space="0" w:color="auto"/>
        <w:bottom w:val="none" w:sz="0" w:space="0" w:color="auto"/>
        <w:right w:val="none" w:sz="0" w:space="0" w:color="auto"/>
      </w:divBdr>
    </w:div>
    <w:div w:id="899709922">
      <w:bodyDiv w:val="1"/>
      <w:marLeft w:val="0"/>
      <w:marRight w:val="0"/>
      <w:marTop w:val="0"/>
      <w:marBottom w:val="0"/>
      <w:divBdr>
        <w:top w:val="none" w:sz="0" w:space="0" w:color="auto"/>
        <w:left w:val="none" w:sz="0" w:space="0" w:color="auto"/>
        <w:bottom w:val="none" w:sz="0" w:space="0" w:color="auto"/>
        <w:right w:val="none" w:sz="0" w:space="0" w:color="auto"/>
      </w:divBdr>
    </w:div>
    <w:div w:id="210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Excel_97-2003_Worksheet.xls"/><Relationship Id="rId26" Type="http://schemas.openxmlformats.org/officeDocument/2006/relationships/oleObject" Target="embeddings/Microsoft_Excel_97-2003_Worksheet1.xls"/><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Word_Document4.docx"/><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package" Target="embeddings/Microsoft_Word_Document3.docx"/><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315842a7-4cff-4ca6-8fb0-a6562d7ae952">Vigente</Estado>
    <Derogado_x0020_por_x003a_ xmlns="315842a7-4cff-4ca6-8fb0-a6562d7ae9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0F0A3-A173-4B90-B383-33163E36363F}">
  <ds:schemaRefs>
    <ds:schemaRef ds:uri="http://schemas.microsoft.com/office/2006/metadata/properties"/>
    <ds:schemaRef ds:uri="http://schemas.microsoft.com/office/infopath/2007/PartnerControls"/>
    <ds:schemaRef ds:uri="315842a7-4cff-4ca6-8fb0-a6562d7ae952"/>
  </ds:schemaRefs>
</ds:datastoreItem>
</file>

<file path=customXml/itemProps2.xml><?xml version="1.0" encoding="utf-8"?>
<ds:datastoreItem xmlns:ds="http://schemas.openxmlformats.org/officeDocument/2006/customXml" ds:itemID="{B6C07638-A636-4D86-92A7-BC1B43A2C4E1}">
  <ds:schemaRefs>
    <ds:schemaRef ds:uri="http://schemas.openxmlformats.org/officeDocument/2006/bibliography"/>
  </ds:schemaRefs>
</ds:datastoreItem>
</file>

<file path=customXml/itemProps3.xml><?xml version="1.0" encoding="utf-8"?>
<ds:datastoreItem xmlns:ds="http://schemas.openxmlformats.org/officeDocument/2006/customXml" ds:itemID="{617B8116-E11C-4A97-8D81-C5C91E08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9F1B5-0751-4BDF-B416-158F280C5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4436</Words>
  <Characters>24401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2022-08-03T18:38:00Z</dcterms:created>
  <dcterms:modified xsi:type="dcterms:W3CDTF">2022-08-04T22:50:00Z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