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CCE7" w14:textId="34DC6ABE" w:rsidR="00C843D8" w:rsidRPr="003D2270" w:rsidRDefault="00C843D8" w:rsidP="00DC12B2">
      <w:pPr>
        <w:autoSpaceDE w:val="0"/>
        <w:autoSpaceDN w:val="0"/>
        <w:adjustRightInd w:val="0"/>
        <w:spacing w:before="120" w:after="120" w:line="240" w:lineRule="auto"/>
        <w:jc w:val="center"/>
        <w:rPr>
          <w:rFonts w:ascii="Arial" w:eastAsia="Times New Roman" w:hAnsi="Arial" w:cs="Arial"/>
          <w:b/>
          <w:sz w:val="24"/>
          <w:szCs w:val="24"/>
          <w:lang w:val="es-ES" w:eastAsia="es-ES"/>
        </w:rPr>
      </w:pPr>
      <w:r w:rsidRPr="003D2270">
        <w:rPr>
          <w:rFonts w:ascii="Arial" w:eastAsia="Times New Roman" w:hAnsi="Arial" w:cs="Arial"/>
          <w:b/>
          <w:sz w:val="24"/>
          <w:szCs w:val="24"/>
          <w:lang w:val="es-ES" w:eastAsia="es-ES"/>
        </w:rPr>
        <w:t>SGV-A-</w:t>
      </w:r>
      <w:r w:rsidR="007D390C" w:rsidRPr="003D2270">
        <w:rPr>
          <w:rFonts w:ascii="Arial" w:eastAsia="Times New Roman" w:hAnsi="Arial" w:cs="Arial"/>
          <w:b/>
          <w:sz w:val="24"/>
          <w:szCs w:val="24"/>
          <w:lang w:val="es-ES" w:eastAsia="es-ES"/>
        </w:rPr>
        <w:t>270</w:t>
      </w:r>
      <w:r w:rsidRPr="003D2270">
        <w:rPr>
          <w:rFonts w:ascii="Arial" w:eastAsia="Times New Roman" w:hAnsi="Arial" w:cs="Arial"/>
          <w:b/>
          <w:sz w:val="24"/>
          <w:szCs w:val="24"/>
          <w:lang w:val="es-ES" w:eastAsia="es-ES"/>
        </w:rPr>
        <w:t xml:space="preserve"> LINEAMIENTOS ESPECÍFICOS PARA LA PREVENCIÓN DEL RIESGO DE LC/FT/FPADM, APLICABLES A LAS PERSONAS VINCULADAS A LOS FONDOS DE INVERSIÓN</w:t>
      </w:r>
      <w:r w:rsidR="003D2270">
        <w:rPr>
          <w:rFonts w:ascii="Arial" w:eastAsia="Times New Roman" w:hAnsi="Arial" w:cs="Arial"/>
          <w:b/>
          <w:sz w:val="24"/>
          <w:szCs w:val="24"/>
          <w:lang w:val="es-ES" w:eastAsia="es-ES"/>
        </w:rPr>
        <w:t xml:space="preserve"> </w:t>
      </w:r>
      <w:r w:rsidR="003D2270">
        <w:rPr>
          <w:rStyle w:val="Refdenotaalpie"/>
          <w:rFonts w:ascii="Arial" w:eastAsia="Times New Roman" w:hAnsi="Arial" w:cs="Arial"/>
          <w:b/>
          <w:sz w:val="24"/>
          <w:szCs w:val="24"/>
          <w:lang w:val="es-ES" w:eastAsia="es-ES"/>
        </w:rPr>
        <w:footnoteReference w:id="1"/>
      </w:r>
    </w:p>
    <w:p w14:paraId="78AF8CDC" w14:textId="77777777" w:rsidR="00C843D8" w:rsidRPr="003B4405" w:rsidRDefault="00C843D8" w:rsidP="00DC12B2">
      <w:pPr>
        <w:autoSpaceDE w:val="0"/>
        <w:autoSpaceDN w:val="0"/>
        <w:adjustRightInd w:val="0"/>
        <w:spacing w:before="120" w:after="120" w:line="240" w:lineRule="auto"/>
        <w:rPr>
          <w:rFonts w:ascii="Arial" w:hAnsi="Arial" w:cs="Arial"/>
        </w:rPr>
      </w:pPr>
    </w:p>
    <w:p w14:paraId="01BBD70D" w14:textId="10DC16BA" w:rsidR="00D676A7" w:rsidRDefault="00D676A7" w:rsidP="003D2270">
      <w:pPr>
        <w:spacing w:after="0" w:line="276" w:lineRule="auto"/>
        <w:ind w:right="-193"/>
        <w:jc w:val="both"/>
        <w:rPr>
          <w:rFonts w:ascii="Arial" w:eastAsia="Times New Roman" w:hAnsi="Arial" w:cs="Arial"/>
          <w:b/>
          <w:bCs/>
          <w:lang w:eastAsia="es-ES"/>
        </w:rPr>
      </w:pPr>
      <w:r w:rsidRPr="003D2270">
        <w:rPr>
          <w:rFonts w:ascii="Arial" w:eastAsia="Times New Roman" w:hAnsi="Arial" w:cs="Arial"/>
          <w:b/>
          <w:bCs/>
          <w:lang w:eastAsia="es-ES"/>
        </w:rPr>
        <w:t>Considerando que:</w:t>
      </w:r>
    </w:p>
    <w:p w14:paraId="6660A892" w14:textId="77777777" w:rsidR="003D2270" w:rsidRPr="003D2270" w:rsidRDefault="003D2270" w:rsidP="003D2270">
      <w:pPr>
        <w:spacing w:after="0" w:line="276" w:lineRule="auto"/>
        <w:ind w:right="-193"/>
        <w:jc w:val="both"/>
        <w:rPr>
          <w:rFonts w:ascii="Arial" w:eastAsia="Times New Roman" w:hAnsi="Arial" w:cs="Arial"/>
          <w:b/>
          <w:bCs/>
          <w:lang w:eastAsia="es-ES"/>
        </w:rPr>
      </w:pPr>
    </w:p>
    <w:p w14:paraId="1E35BC68" w14:textId="77777777" w:rsidR="00D676A7" w:rsidRDefault="00D676A7" w:rsidP="006241D1">
      <w:pPr>
        <w:pStyle w:val="Prrafodelista"/>
        <w:numPr>
          <w:ilvl w:val="0"/>
          <w:numId w:val="16"/>
        </w:numPr>
        <w:autoSpaceDE w:val="0"/>
        <w:autoSpaceDN w:val="0"/>
        <w:adjustRightInd w:val="0"/>
        <w:spacing w:before="120" w:after="360" w:line="240" w:lineRule="auto"/>
        <w:ind w:left="1077"/>
        <w:jc w:val="both"/>
        <w:rPr>
          <w:rFonts w:ascii="Arial" w:hAnsi="Arial" w:cs="Arial"/>
        </w:rPr>
      </w:pPr>
      <w:r w:rsidRPr="003B4405">
        <w:rPr>
          <w:rFonts w:ascii="Arial" w:hAnsi="Arial" w:cs="Arial"/>
        </w:rPr>
        <w:t>El inciso b) del artículo 171 de la Ley Reguladora del Mercado de Valores, Ley 7732, establece como función del Consejo Nacional de Supervisión del Sistema Financiero (Conassif) aprobar las normas atinentes a la autorización, regulación, supervisión, fiscalización y vigilancia que, conforme a la Ley, debe ejecutar la Superintendencia General de Valores (Sugeval).</w:t>
      </w:r>
    </w:p>
    <w:p w14:paraId="0E899B7B" w14:textId="77777777" w:rsidR="006241D1" w:rsidRDefault="006241D1" w:rsidP="006241D1">
      <w:pPr>
        <w:pStyle w:val="Prrafodelista"/>
        <w:autoSpaceDE w:val="0"/>
        <w:autoSpaceDN w:val="0"/>
        <w:adjustRightInd w:val="0"/>
        <w:spacing w:before="120" w:after="360" w:line="240" w:lineRule="auto"/>
        <w:ind w:left="1077"/>
        <w:jc w:val="both"/>
        <w:rPr>
          <w:rFonts w:ascii="Arial" w:hAnsi="Arial" w:cs="Arial"/>
        </w:rPr>
      </w:pPr>
    </w:p>
    <w:p w14:paraId="501E82EB" w14:textId="77777777" w:rsidR="00606081" w:rsidRPr="00606081" w:rsidRDefault="00606081" w:rsidP="006241D1">
      <w:pPr>
        <w:pStyle w:val="Prrafodelista"/>
        <w:numPr>
          <w:ilvl w:val="0"/>
          <w:numId w:val="16"/>
        </w:numPr>
        <w:autoSpaceDE w:val="0"/>
        <w:autoSpaceDN w:val="0"/>
        <w:adjustRightInd w:val="0"/>
        <w:spacing w:before="120" w:after="360" w:line="240" w:lineRule="auto"/>
        <w:ind w:left="1077"/>
        <w:jc w:val="both"/>
        <w:rPr>
          <w:rFonts w:ascii="Arial" w:hAnsi="Arial" w:cs="Arial"/>
        </w:rPr>
      </w:pPr>
      <w:r w:rsidRPr="00606081">
        <w:rPr>
          <w:rFonts w:ascii="Arial" w:hAnsi="Arial" w:cs="Arial"/>
        </w:rPr>
        <w:t>La Ley Reguladora del</w:t>
      </w:r>
      <w:r w:rsidRPr="00D37ABC">
        <w:rPr>
          <w:rFonts w:ascii="Arial" w:hAnsi="Arial" w:cs="Arial"/>
        </w:rPr>
        <w:t xml:space="preserve"> M</w:t>
      </w:r>
      <w:r w:rsidRPr="00606081">
        <w:rPr>
          <w:rFonts w:ascii="Arial" w:hAnsi="Arial" w:cs="Arial"/>
        </w:rPr>
        <w:t xml:space="preserve">ercado de Valores regula la figura de fondos de inversión en su Título V, definiéndolos como patrimonios separados pertenecientes a una pluralidad de inversionistas. Con el concurso de una entidad de custodia, serán administrados por las sociedades administradoras reguladas en este título y se destinarán a ser invertidos en la forma prevista en el respectivo prospecto, dentro del marco permitido por esta ley y los reglamentos de la Superintendencia.  De conformidad con esta Ley, tanto las sociedades administradoras, los fondos de inversión y las sociedades de custodia deberán estar sometidos a la legislación </w:t>
      </w:r>
      <w:r>
        <w:rPr>
          <w:rFonts w:ascii="Arial" w:hAnsi="Arial" w:cs="Arial"/>
        </w:rPr>
        <w:t>c</w:t>
      </w:r>
      <w:r w:rsidRPr="00606081">
        <w:rPr>
          <w:rFonts w:ascii="Arial" w:hAnsi="Arial" w:cs="Arial"/>
        </w:rPr>
        <w:t>ostarricense</w:t>
      </w:r>
      <w:r>
        <w:rPr>
          <w:rFonts w:ascii="Arial" w:hAnsi="Arial" w:cs="Arial"/>
        </w:rPr>
        <w:t>.</w:t>
      </w:r>
    </w:p>
    <w:p w14:paraId="3D9144EB"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090DB328" w14:textId="77777777" w:rsidR="00D676A7" w:rsidRPr="003B4405" w:rsidRDefault="00D676A7" w:rsidP="00DC12B2">
      <w:pPr>
        <w:pStyle w:val="Prrafodelista"/>
        <w:numPr>
          <w:ilvl w:val="0"/>
          <w:numId w:val="16"/>
        </w:numPr>
        <w:autoSpaceDE w:val="0"/>
        <w:autoSpaceDN w:val="0"/>
        <w:adjustRightInd w:val="0"/>
        <w:spacing w:before="120" w:after="120" w:line="240" w:lineRule="auto"/>
        <w:jc w:val="both"/>
        <w:rPr>
          <w:rFonts w:ascii="Arial" w:hAnsi="Arial" w:cs="Arial"/>
        </w:rPr>
      </w:pPr>
      <w:r w:rsidRPr="003B4405">
        <w:rPr>
          <w:rFonts w:ascii="Arial" w:hAnsi="Arial" w:cs="Arial"/>
        </w:rPr>
        <w:t>El artículo 1 de la Ley 7786</w:t>
      </w:r>
      <w:r w:rsidR="00B24B8B">
        <w:rPr>
          <w:rFonts w:ascii="Arial" w:hAnsi="Arial" w:cs="Arial"/>
        </w:rPr>
        <w:t xml:space="preserve"> </w:t>
      </w:r>
      <w:r w:rsidR="0069747B">
        <w:rPr>
          <w:rFonts w:ascii="Arial" w:hAnsi="Arial" w:cs="Arial"/>
        </w:rPr>
        <w:t>“</w:t>
      </w:r>
      <w:r w:rsidR="0069747B" w:rsidRPr="0069747B">
        <w:rPr>
          <w:rFonts w:ascii="Arial" w:hAnsi="Arial" w:cs="Arial"/>
        </w:rPr>
        <w:t>Ley sobre estupefacientes, sustancias psicotrópicas, drogas de uso No Autorizado, actividades Conexas, legitimación de capitales y financiamiento al terrorismo</w:t>
      </w:r>
      <w:r w:rsidR="0069747B">
        <w:rPr>
          <w:rFonts w:ascii="Arial" w:hAnsi="Arial" w:cs="Arial"/>
        </w:rPr>
        <w:t>”,</w:t>
      </w:r>
      <w:r w:rsidRPr="003B4405">
        <w:rPr>
          <w:rFonts w:ascii="Arial" w:hAnsi="Arial" w:cs="Arial"/>
        </w:rPr>
        <w:t xml:space="preserve"> establece que es función del Estado</w:t>
      </w:r>
      <w:r w:rsidR="00B24B8B">
        <w:rPr>
          <w:rFonts w:ascii="Arial" w:hAnsi="Arial" w:cs="Arial"/>
        </w:rPr>
        <w:t xml:space="preserve"> la a</w:t>
      </w:r>
      <w:r w:rsidRPr="003B4405">
        <w:rPr>
          <w:rFonts w:ascii="Arial" w:hAnsi="Arial" w:cs="Arial"/>
        </w:rPr>
        <w:t>dopción de las medidas necesarias para prevenir, controlar, investigar, evitar o reprimir toda actividad ilícita relativa a la materia de esta Ley.</w:t>
      </w:r>
    </w:p>
    <w:p w14:paraId="6D9EB974"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7D3D929E" w14:textId="77777777" w:rsidR="00D676A7" w:rsidRPr="003B4405" w:rsidRDefault="00D676A7" w:rsidP="00DC12B2">
      <w:pPr>
        <w:pStyle w:val="Prrafodelista"/>
        <w:numPr>
          <w:ilvl w:val="0"/>
          <w:numId w:val="16"/>
        </w:numPr>
        <w:autoSpaceDE w:val="0"/>
        <w:autoSpaceDN w:val="0"/>
        <w:adjustRightInd w:val="0"/>
        <w:spacing w:before="120" w:after="120" w:line="240" w:lineRule="auto"/>
        <w:jc w:val="both"/>
        <w:rPr>
          <w:rFonts w:ascii="Arial" w:hAnsi="Arial" w:cs="Arial"/>
        </w:rPr>
      </w:pPr>
      <w:r w:rsidRPr="003B4405">
        <w:rPr>
          <w:rFonts w:ascii="Arial" w:hAnsi="Arial" w:cs="Arial"/>
        </w:rPr>
        <w:t>Las actividades que se desarrollan en el sector inmobiliario</w:t>
      </w:r>
      <w:r w:rsidR="001B4E14">
        <w:rPr>
          <w:rFonts w:ascii="Arial" w:hAnsi="Arial" w:cs="Arial"/>
        </w:rPr>
        <w:t xml:space="preserve"> en </w:t>
      </w:r>
      <w:r w:rsidR="0069747B">
        <w:rPr>
          <w:rFonts w:ascii="Arial" w:hAnsi="Arial" w:cs="Arial"/>
        </w:rPr>
        <w:t>general</w:t>
      </w:r>
      <w:r w:rsidRPr="003B4405">
        <w:rPr>
          <w:rFonts w:ascii="Arial" w:hAnsi="Arial" w:cs="Arial"/>
        </w:rPr>
        <w:t xml:space="preserve"> pueden ser utilizadas, local e internacionalmente, por personas u organizaciones para ocultar, transformar o administrar recursos de actividades ilícitas, circunstancia que podría debilitar el sistema preventivo y afectarían la confianza y reputación de las contrapartes.</w:t>
      </w:r>
      <w:r w:rsidR="00606081">
        <w:rPr>
          <w:rFonts w:ascii="Arial" w:hAnsi="Arial" w:cs="Arial"/>
        </w:rPr>
        <w:t xml:space="preserve"> </w:t>
      </w:r>
      <w:r w:rsidR="001B4E14">
        <w:rPr>
          <w:rFonts w:ascii="Arial" w:hAnsi="Arial" w:cs="Arial"/>
        </w:rPr>
        <w:t xml:space="preserve">Si bien la industria de fondos de inversión </w:t>
      </w:r>
      <w:r w:rsidR="0000597D">
        <w:rPr>
          <w:rFonts w:ascii="Arial" w:hAnsi="Arial" w:cs="Arial"/>
        </w:rPr>
        <w:t>costarricense</w:t>
      </w:r>
      <w:r w:rsidR="001B4E14">
        <w:rPr>
          <w:rFonts w:ascii="Arial" w:hAnsi="Arial" w:cs="Arial"/>
        </w:rPr>
        <w:t xml:space="preserve"> ha establecido medidas para la mitigación de estos riesgos, se ha observado que en </w:t>
      </w:r>
      <w:r w:rsidR="0000597D">
        <w:rPr>
          <w:rFonts w:ascii="Arial" w:hAnsi="Arial" w:cs="Arial"/>
        </w:rPr>
        <w:t xml:space="preserve">algunas </w:t>
      </w:r>
      <w:r w:rsidR="001B4E14">
        <w:rPr>
          <w:rFonts w:ascii="Arial" w:hAnsi="Arial" w:cs="Arial"/>
        </w:rPr>
        <w:t xml:space="preserve">sociedades administradoras ha sido necesario requerir que incluyan este sector </w:t>
      </w:r>
      <w:r w:rsidR="001B4E14" w:rsidRPr="001B4E14">
        <w:rPr>
          <w:rFonts w:ascii="Arial" w:hAnsi="Arial" w:cs="Arial"/>
        </w:rPr>
        <w:t xml:space="preserve">en </w:t>
      </w:r>
      <w:r w:rsidR="001B4E14">
        <w:rPr>
          <w:rFonts w:ascii="Arial" w:hAnsi="Arial" w:cs="Arial"/>
        </w:rPr>
        <w:t xml:space="preserve">su </w:t>
      </w:r>
      <w:r w:rsidR="001B4E14" w:rsidRPr="001B4E14">
        <w:rPr>
          <w:rFonts w:ascii="Arial" w:hAnsi="Arial" w:cs="Arial"/>
        </w:rPr>
        <w:t>evaluación de riesgos de L</w:t>
      </w:r>
      <w:r w:rsidR="0069747B">
        <w:rPr>
          <w:rFonts w:ascii="Arial" w:hAnsi="Arial" w:cs="Arial"/>
        </w:rPr>
        <w:t>C</w:t>
      </w:r>
      <w:r w:rsidR="001B4E14" w:rsidRPr="001B4E14">
        <w:rPr>
          <w:rFonts w:ascii="Arial" w:hAnsi="Arial" w:cs="Arial"/>
        </w:rPr>
        <w:t>/FT/FPADM</w:t>
      </w:r>
      <w:r w:rsidR="001B4E14">
        <w:rPr>
          <w:rFonts w:ascii="Arial" w:hAnsi="Arial" w:cs="Arial"/>
        </w:rPr>
        <w:t>; en otros casos se identifica que las c</w:t>
      </w:r>
      <w:r w:rsidR="001B4E14" w:rsidRPr="001B4E14">
        <w:rPr>
          <w:rFonts w:ascii="Arial" w:hAnsi="Arial" w:cs="Arial"/>
        </w:rPr>
        <w:t xml:space="preserve">ontrapartes </w:t>
      </w:r>
      <w:r w:rsidR="001B4E14">
        <w:rPr>
          <w:rFonts w:ascii="Arial" w:hAnsi="Arial" w:cs="Arial"/>
        </w:rPr>
        <w:t xml:space="preserve">o intermediarios de las </w:t>
      </w:r>
      <w:r w:rsidR="001B4E14" w:rsidRPr="001B4E14">
        <w:rPr>
          <w:rFonts w:ascii="Arial" w:hAnsi="Arial" w:cs="Arial"/>
        </w:rPr>
        <w:t xml:space="preserve">transacciones </w:t>
      </w:r>
      <w:r w:rsidR="001B4E14">
        <w:rPr>
          <w:rFonts w:ascii="Arial" w:hAnsi="Arial" w:cs="Arial"/>
        </w:rPr>
        <w:t xml:space="preserve">de bienes inmuebles </w:t>
      </w:r>
      <w:r w:rsidR="001B4E14" w:rsidRPr="001B4E14">
        <w:rPr>
          <w:rFonts w:ascii="Arial" w:hAnsi="Arial" w:cs="Arial"/>
        </w:rPr>
        <w:t xml:space="preserve">no se ven </w:t>
      </w:r>
      <w:r w:rsidR="001B4E14">
        <w:rPr>
          <w:rFonts w:ascii="Arial" w:hAnsi="Arial" w:cs="Arial"/>
        </w:rPr>
        <w:t>necesariamente como personas que generan riesgos en el sistema preventivo; y además el flujo de información sobre la exposición a estos riesgos hacia los órganos de dirección y control presenta mejoras, con el fin de garantizar la oportunidad en la definición de acciones mitigadoras o preventivas.</w:t>
      </w:r>
      <w:r w:rsidR="00250492">
        <w:rPr>
          <w:rFonts w:ascii="Arial" w:hAnsi="Arial" w:cs="Arial"/>
        </w:rPr>
        <w:t xml:space="preserve"> </w:t>
      </w:r>
    </w:p>
    <w:p w14:paraId="3E2EC4CA" w14:textId="77777777" w:rsidR="006241D1" w:rsidRDefault="006241D1" w:rsidP="006241D1">
      <w:pPr>
        <w:pStyle w:val="Prrafodelista"/>
        <w:spacing w:before="120" w:after="120" w:line="256" w:lineRule="auto"/>
        <w:ind w:left="1080"/>
        <w:jc w:val="both"/>
        <w:rPr>
          <w:rFonts w:ascii="Arial" w:hAnsi="Arial" w:cs="Arial"/>
        </w:rPr>
      </w:pPr>
    </w:p>
    <w:p w14:paraId="234049EF" w14:textId="77777777" w:rsidR="00D676A7" w:rsidRPr="003B4405" w:rsidRDefault="00D676A7" w:rsidP="00DC12B2">
      <w:pPr>
        <w:pStyle w:val="Prrafodelista"/>
        <w:numPr>
          <w:ilvl w:val="0"/>
          <w:numId w:val="16"/>
        </w:numPr>
        <w:spacing w:before="120" w:after="120" w:line="256" w:lineRule="auto"/>
        <w:jc w:val="both"/>
        <w:rPr>
          <w:rFonts w:ascii="Arial" w:hAnsi="Arial" w:cs="Arial"/>
        </w:rPr>
      </w:pPr>
      <w:r w:rsidRPr="003B4405">
        <w:rPr>
          <w:rFonts w:ascii="Arial" w:hAnsi="Arial" w:cs="Arial"/>
        </w:rPr>
        <w:t xml:space="preserve">Los organismos a nivel internacional han emitido recomendaciones y regulaciones que hacen referencia a la necesidad de identificar, evaluar y actuar eficazmente en la gestión de los riesgos en el sector inmobiliario, promoviendo </w:t>
      </w:r>
      <w:r w:rsidRPr="003B4405">
        <w:rPr>
          <w:rFonts w:ascii="Arial" w:hAnsi="Arial" w:cs="Arial"/>
        </w:rPr>
        <w:lastRenderedPageBreak/>
        <w:t>el incremento de las medidas de mitigación del sector, así como un mayor conocimiento de las tipologías de LC/FT/FPADM asociadas a zonas geográficas, contrapartes, tipos de operaciones, formas de pago o transacciones financieras asociadas.</w:t>
      </w:r>
    </w:p>
    <w:p w14:paraId="7461136A" w14:textId="77777777" w:rsidR="00D676A7" w:rsidRPr="003B4405" w:rsidRDefault="00D676A7" w:rsidP="00DC12B2">
      <w:pPr>
        <w:pStyle w:val="Prrafodelista"/>
        <w:numPr>
          <w:ilvl w:val="0"/>
          <w:numId w:val="16"/>
        </w:numPr>
        <w:autoSpaceDE w:val="0"/>
        <w:autoSpaceDN w:val="0"/>
        <w:adjustRightInd w:val="0"/>
        <w:spacing w:before="120" w:after="120" w:line="240" w:lineRule="auto"/>
        <w:jc w:val="both"/>
        <w:rPr>
          <w:rFonts w:ascii="Arial" w:hAnsi="Arial" w:cs="Arial"/>
        </w:rPr>
      </w:pPr>
      <w:r w:rsidRPr="003B4405">
        <w:rPr>
          <w:rFonts w:ascii="Arial" w:hAnsi="Arial" w:cs="Arial"/>
        </w:rPr>
        <w:t xml:space="preserve">Debido a los resultados obtenidos por Costa Rica en la evaluación del Grupo de Acción Financiera de Latinoamérica (GAFILAT), expuestos en el informe de Evaluación Mutua en el año 2015, la Sugeval, en adelante la Superintendencia, </w:t>
      </w:r>
      <w:r w:rsidR="00F3097D">
        <w:rPr>
          <w:rFonts w:ascii="Arial" w:hAnsi="Arial" w:cs="Arial"/>
        </w:rPr>
        <w:t>puede</w:t>
      </w:r>
      <w:r w:rsidRPr="003B4405">
        <w:rPr>
          <w:rFonts w:ascii="Arial" w:hAnsi="Arial" w:cs="Arial"/>
        </w:rPr>
        <w:t xml:space="preserve"> analizar la conveniencia de establecer lineamientos y directrices ajustados para cada mercado regulado, </w:t>
      </w:r>
      <w:r w:rsidR="00F3097D" w:rsidRPr="003B4405">
        <w:rPr>
          <w:rFonts w:ascii="Arial" w:hAnsi="Arial" w:cs="Arial"/>
        </w:rPr>
        <w:t>de acuerdo con</w:t>
      </w:r>
      <w:r w:rsidRPr="003B4405">
        <w:rPr>
          <w:rFonts w:ascii="Arial" w:hAnsi="Arial" w:cs="Arial"/>
        </w:rPr>
        <w:t xml:space="preserve"> los riesgos de LC/FT/FPADM</w:t>
      </w:r>
      <w:r w:rsidR="00F3097D">
        <w:rPr>
          <w:rFonts w:ascii="Arial" w:hAnsi="Arial" w:cs="Arial"/>
        </w:rPr>
        <w:t xml:space="preserve"> particulares</w:t>
      </w:r>
      <w:r w:rsidRPr="003B4405">
        <w:rPr>
          <w:rFonts w:ascii="Arial" w:hAnsi="Arial" w:cs="Arial"/>
        </w:rPr>
        <w:t>, estableciendo medidas de diligencia debida reforzada y simplificada según sea el caso.</w:t>
      </w:r>
    </w:p>
    <w:p w14:paraId="4B32AF2F"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72778AA4" w14:textId="77777777" w:rsidR="00D676A7" w:rsidRPr="003B4405" w:rsidRDefault="00D676A7" w:rsidP="00DC12B2">
      <w:pPr>
        <w:pStyle w:val="Prrafodelista"/>
        <w:numPr>
          <w:ilvl w:val="0"/>
          <w:numId w:val="16"/>
        </w:numPr>
        <w:autoSpaceDE w:val="0"/>
        <w:autoSpaceDN w:val="0"/>
        <w:adjustRightInd w:val="0"/>
        <w:spacing w:before="120" w:after="120" w:line="240" w:lineRule="auto"/>
        <w:jc w:val="both"/>
        <w:rPr>
          <w:rFonts w:ascii="Arial" w:hAnsi="Arial" w:cs="Arial"/>
        </w:rPr>
      </w:pPr>
      <w:r w:rsidRPr="003B4405">
        <w:rPr>
          <w:rFonts w:ascii="Arial" w:hAnsi="Arial" w:cs="Arial"/>
        </w:rPr>
        <w:t>La efectividad de las políticas y procedimientos de cada sujeto obligado en cuanto a la prevención de LC/FT/FPADM, depende de la medida en la que los participantes que conforman el sistema de prevención comprendan su rol y asuman su compromiso. Los sistemas de autocontrol y autorregulación fortalecen las prácticas gerenciales</w:t>
      </w:r>
      <w:r w:rsidR="0069747B">
        <w:rPr>
          <w:rFonts w:ascii="Arial" w:hAnsi="Arial" w:cs="Arial"/>
        </w:rPr>
        <w:t>,</w:t>
      </w:r>
      <w:r w:rsidR="0069747B" w:rsidRPr="003B4405">
        <w:rPr>
          <w:rFonts w:ascii="Arial" w:hAnsi="Arial" w:cs="Arial"/>
        </w:rPr>
        <w:t xml:space="preserve"> </w:t>
      </w:r>
      <w:r w:rsidRPr="003B4405">
        <w:rPr>
          <w:rFonts w:ascii="Arial" w:hAnsi="Arial" w:cs="Arial"/>
        </w:rPr>
        <w:t>mejora la reputación y promueve mercados responsables y seguros.</w:t>
      </w:r>
    </w:p>
    <w:p w14:paraId="6F0EBD58"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2382DE45" w14:textId="77777777" w:rsidR="00D676A7" w:rsidRPr="003B4405" w:rsidRDefault="00D676A7" w:rsidP="00DC12B2">
      <w:pPr>
        <w:pStyle w:val="Prrafodelista"/>
        <w:numPr>
          <w:ilvl w:val="0"/>
          <w:numId w:val="16"/>
        </w:numPr>
        <w:autoSpaceDE w:val="0"/>
        <w:autoSpaceDN w:val="0"/>
        <w:adjustRightInd w:val="0"/>
        <w:spacing w:before="120" w:after="120" w:line="240" w:lineRule="auto"/>
        <w:jc w:val="both"/>
        <w:rPr>
          <w:rFonts w:ascii="Arial" w:hAnsi="Arial" w:cs="Arial"/>
        </w:rPr>
      </w:pPr>
      <w:r w:rsidRPr="003B4405">
        <w:rPr>
          <w:rFonts w:ascii="Arial" w:hAnsi="Arial" w:cs="Arial"/>
        </w:rPr>
        <w:t xml:space="preserve">La guía de evaluación técnica de la recomendación 1 del GAFI </w:t>
      </w:r>
      <w:r w:rsidRPr="00F3097D">
        <w:rPr>
          <w:rFonts w:ascii="Arial" w:hAnsi="Arial" w:cs="Arial"/>
          <w:i/>
          <w:iCs/>
        </w:rPr>
        <w:t>‘Evaluación de riesgos y aplicación de un enfoque basado en riesgos’</w:t>
      </w:r>
      <w:r w:rsidRPr="003B4405">
        <w:rPr>
          <w:rFonts w:ascii="Arial" w:hAnsi="Arial" w:cs="Arial"/>
        </w:rPr>
        <w:t xml:space="preserve"> señala como obligaciones de los sujetos obligados</w:t>
      </w:r>
      <w:r w:rsidR="00F3097D">
        <w:rPr>
          <w:rFonts w:ascii="Arial" w:hAnsi="Arial" w:cs="Arial"/>
        </w:rPr>
        <w:t>,</w:t>
      </w:r>
      <w:r w:rsidRPr="003B4405">
        <w:rPr>
          <w:rFonts w:ascii="Arial" w:hAnsi="Arial" w:cs="Arial"/>
        </w:rPr>
        <w:t xml:space="preserve"> el dar los pasos necesarios para implementar un enfoque basado en riesgo para la gestión del riesgo de LC/FT/FPADM, el cual al menos establezca procesos para identificar, evaluar, monitorear, administrar y mitigar los riesgos de lavado de activos y financiamiento del terrorismo. Esto incluye la documentación de sus evaluaciones de riesgo; la consideración de todos los factores de riesgo pertinentes antes de determinar cuál es el nivel de riesgo general, el tipo apropiado de mitigación a aplicar y la actualización de estas evaluaciones.</w:t>
      </w:r>
    </w:p>
    <w:p w14:paraId="6E95B5EF"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00718CDC" w14:textId="77777777" w:rsidR="00D676A7" w:rsidRPr="003B4405" w:rsidRDefault="00D676A7" w:rsidP="00DC12B2">
      <w:pPr>
        <w:pStyle w:val="Prrafodelista"/>
        <w:numPr>
          <w:ilvl w:val="0"/>
          <w:numId w:val="16"/>
        </w:numPr>
        <w:autoSpaceDE w:val="0"/>
        <w:autoSpaceDN w:val="0"/>
        <w:adjustRightInd w:val="0"/>
        <w:spacing w:before="120" w:after="120" w:line="240" w:lineRule="auto"/>
        <w:jc w:val="both"/>
        <w:rPr>
          <w:rFonts w:ascii="Arial" w:hAnsi="Arial" w:cs="Arial"/>
        </w:rPr>
      </w:pPr>
      <w:r w:rsidRPr="003B4405">
        <w:rPr>
          <w:rFonts w:ascii="Arial" w:hAnsi="Arial" w:cs="Arial"/>
        </w:rPr>
        <w:t>Bajo el enfoque con base en riesgos, el sujeto obligado es el responsable de la gestión integral de los riesgos de su negocio</w:t>
      </w:r>
      <w:r w:rsidR="00F3097D">
        <w:rPr>
          <w:rFonts w:ascii="Arial" w:hAnsi="Arial" w:cs="Arial"/>
        </w:rPr>
        <w:t>,</w:t>
      </w:r>
      <w:r w:rsidRPr="003B4405">
        <w:rPr>
          <w:rFonts w:ascii="Arial" w:hAnsi="Arial" w:cs="Arial"/>
        </w:rPr>
        <w:t xml:space="preserve"> la rigurosidad en el análisis de la información varía en cada sujeto obligado</w:t>
      </w:r>
      <w:r w:rsidR="00F3097D">
        <w:rPr>
          <w:rFonts w:ascii="Arial" w:hAnsi="Arial" w:cs="Arial"/>
        </w:rPr>
        <w:t xml:space="preserve"> según sus condiciones particulares. E</w:t>
      </w:r>
      <w:r w:rsidRPr="003B4405">
        <w:rPr>
          <w:rFonts w:ascii="Arial" w:hAnsi="Arial" w:cs="Arial"/>
        </w:rPr>
        <w:t>l sujeto obligado debe conocer a las contrapartes y definir su apetito al riesgo</w:t>
      </w:r>
      <w:r w:rsidR="00F3097D">
        <w:rPr>
          <w:rFonts w:ascii="Arial" w:hAnsi="Arial" w:cs="Arial"/>
        </w:rPr>
        <w:t>,</w:t>
      </w:r>
      <w:r w:rsidRPr="003B4405">
        <w:rPr>
          <w:rFonts w:ascii="Arial" w:hAnsi="Arial" w:cs="Arial"/>
        </w:rPr>
        <w:t xml:space="preserve"> para establecer y mantener relaciones comerciales con una persona física o jurídica y establecer políticas y procedimientos para definir los plazos de actualización, según su clasificación por riesgo</w:t>
      </w:r>
      <w:r w:rsidR="00745BA3">
        <w:rPr>
          <w:rFonts w:ascii="Arial" w:hAnsi="Arial" w:cs="Arial"/>
        </w:rPr>
        <w:t xml:space="preserve">. Estos criterios deben </w:t>
      </w:r>
      <w:r w:rsidRPr="003B4405">
        <w:rPr>
          <w:rFonts w:ascii="Arial" w:hAnsi="Arial" w:cs="Arial"/>
        </w:rPr>
        <w:t>ser más rigurosos conforme el riesgo sea mayor.</w:t>
      </w:r>
    </w:p>
    <w:p w14:paraId="1F35914A"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651394A8" w14:textId="77777777" w:rsidR="00D676A7" w:rsidRPr="003B4405" w:rsidRDefault="00D676A7" w:rsidP="00DC12B2">
      <w:pPr>
        <w:pStyle w:val="Prrafodelista"/>
        <w:numPr>
          <w:ilvl w:val="0"/>
          <w:numId w:val="16"/>
        </w:numPr>
        <w:autoSpaceDE w:val="0"/>
        <w:autoSpaceDN w:val="0"/>
        <w:adjustRightInd w:val="0"/>
        <w:spacing w:before="120" w:after="120" w:line="240" w:lineRule="auto"/>
        <w:jc w:val="both"/>
        <w:rPr>
          <w:rFonts w:ascii="Arial" w:hAnsi="Arial" w:cs="Arial"/>
        </w:rPr>
      </w:pPr>
      <w:r w:rsidRPr="003B4405">
        <w:rPr>
          <w:rFonts w:ascii="Arial" w:hAnsi="Arial" w:cs="Arial"/>
        </w:rPr>
        <w:t xml:space="preserve">El Conassif dispuso en firme aprobar el Reglamento para la prevención del riesgo de legitimación de capitales, financiamiento del terrorismo y de la proliferación de armas de destrucción masiva, Acuerdo </w:t>
      </w:r>
      <w:r w:rsidR="0069747B">
        <w:rPr>
          <w:rFonts w:ascii="Arial" w:hAnsi="Arial" w:cs="Arial"/>
        </w:rPr>
        <w:t>CONASSIF</w:t>
      </w:r>
      <w:r w:rsidR="00D95D23">
        <w:rPr>
          <w:rFonts w:ascii="Arial" w:hAnsi="Arial" w:cs="Arial"/>
        </w:rPr>
        <w:t xml:space="preserve"> </w:t>
      </w:r>
      <w:r w:rsidRPr="003B4405">
        <w:rPr>
          <w:rFonts w:ascii="Arial" w:hAnsi="Arial" w:cs="Arial"/>
        </w:rPr>
        <w:t>12-21.</w:t>
      </w:r>
    </w:p>
    <w:p w14:paraId="3B3ACF08"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5A25278B" w14:textId="77777777" w:rsidR="00B24B8B" w:rsidRPr="003B4405" w:rsidRDefault="00745BA3" w:rsidP="00745BA3">
      <w:pPr>
        <w:pStyle w:val="Prrafodelista"/>
        <w:numPr>
          <w:ilvl w:val="0"/>
          <w:numId w:val="16"/>
        </w:numPr>
        <w:autoSpaceDE w:val="0"/>
        <w:autoSpaceDN w:val="0"/>
        <w:adjustRightInd w:val="0"/>
        <w:spacing w:before="120" w:after="120" w:line="240" w:lineRule="auto"/>
        <w:jc w:val="both"/>
        <w:rPr>
          <w:rFonts w:ascii="Arial" w:hAnsi="Arial" w:cs="Arial"/>
        </w:rPr>
      </w:pPr>
      <w:r>
        <w:rPr>
          <w:rFonts w:ascii="Arial" w:hAnsi="Arial" w:cs="Arial"/>
        </w:rPr>
        <w:t>Los</w:t>
      </w:r>
      <w:r w:rsidR="00B24B8B" w:rsidRPr="003B4405">
        <w:rPr>
          <w:rFonts w:ascii="Arial" w:hAnsi="Arial" w:cs="Arial"/>
        </w:rPr>
        <w:t xml:space="preserve"> artículo</w:t>
      </w:r>
      <w:r>
        <w:rPr>
          <w:rFonts w:ascii="Arial" w:hAnsi="Arial" w:cs="Arial"/>
        </w:rPr>
        <w:t>s</w:t>
      </w:r>
      <w:r w:rsidR="00B24B8B" w:rsidRPr="003B4405">
        <w:rPr>
          <w:rFonts w:ascii="Arial" w:hAnsi="Arial" w:cs="Arial"/>
        </w:rPr>
        <w:t xml:space="preserve"> 3 </w:t>
      </w:r>
      <w:r>
        <w:rPr>
          <w:rFonts w:ascii="Arial" w:hAnsi="Arial" w:cs="Arial"/>
        </w:rPr>
        <w:t xml:space="preserve">y 28 </w:t>
      </w:r>
      <w:r w:rsidR="00B24B8B" w:rsidRPr="003B4405">
        <w:rPr>
          <w:rFonts w:ascii="Arial" w:hAnsi="Arial" w:cs="Arial"/>
        </w:rPr>
        <w:t xml:space="preserve">del </w:t>
      </w:r>
      <w:r w:rsidRPr="003B4405">
        <w:rPr>
          <w:rFonts w:ascii="Arial" w:hAnsi="Arial" w:cs="Arial"/>
        </w:rPr>
        <w:t xml:space="preserve">Acuerdo </w:t>
      </w:r>
      <w:r>
        <w:rPr>
          <w:rFonts w:ascii="Arial" w:hAnsi="Arial" w:cs="Arial"/>
        </w:rPr>
        <w:t xml:space="preserve">CONASSIF </w:t>
      </w:r>
      <w:r w:rsidRPr="003B4405">
        <w:rPr>
          <w:rFonts w:ascii="Arial" w:hAnsi="Arial" w:cs="Arial"/>
        </w:rPr>
        <w:t>12-21</w:t>
      </w:r>
      <w:r>
        <w:rPr>
          <w:rFonts w:ascii="Arial" w:hAnsi="Arial" w:cs="Arial"/>
        </w:rPr>
        <w:t xml:space="preserve"> define </w:t>
      </w:r>
      <w:r w:rsidR="00B24B8B" w:rsidRPr="003B4405">
        <w:rPr>
          <w:rFonts w:ascii="Arial" w:hAnsi="Arial" w:cs="Arial"/>
        </w:rPr>
        <w:t>la figura de las Personas Vinculadas a Fondos de Inversión (PVFI)</w:t>
      </w:r>
      <w:r w:rsidR="00B24B8B">
        <w:rPr>
          <w:rFonts w:ascii="Arial" w:hAnsi="Arial" w:cs="Arial"/>
        </w:rPr>
        <w:t xml:space="preserve">, con el objetivo de </w:t>
      </w:r>
      <w:r w:rsidR="0092781B" w:rsidRPr="003B4405">
        <w:rPr>
          <w:rFonts w:ascii="Arial" w:hAnsi="Arial" w:cs="Arial"/>
        </w:rPr>
        <w:t>determinar los requisitos y procesos de diligencia debida aplicables</w:t>
      </w:r>
      <w:r>
        <w:rPr>
          <w:rFonts w:ascii="Arial" w:hAnsi="Arial" w:cs="Arial"/>
        </w:rPr>
        <w:t xml:space="preserve"> a </w:t>
      </w:r>
      <w:r w:rsidR="00237586">
        <w:rPr>
          <w:rFonts w:ascii="Arial" w:hAnsi="Arial" w:cs="Arial"/>
        </w:rPr>
        <w:t xml:space="preserve">personas físicas o jurídicas que </w:t>
      </w:r>
      <w:r w:rsidR="00237586" w:rsidRPr="003B4405">
        <w:rPr>
          <w:rFonts w:ascii="Arial" w:hAnsi="Arial" w:cs="Arial"/>
        </w:rPr>
        <w:t>pueden mantener contrato</w:t>
      </w:r>
      <w:r w:rsidR="00237586">
        <w:rPr>
          <w:rFonts w:ascii="Arial" w:hAnsi="Arial" w:cs="Arial"/>
        </w:rPr>
        <w:t>s</w:t>
      </w:r>
      <w:r w:rsidR="00237586" w:rsidRPr="003B4405">
        <w:rPr>
          <w:rFonts w:ascii="Arial" w:hAnsi="Arial" w:cs="Arial"/>
        </w:rPr>
        <w:t xml:space="preserve"> </w:t>
      </w:r>
      <w:r w:rsidR="00237586">
        <w:rPr>
          <w:rFonts w:ascii="Arial" w:hAnsi="Arial" w:cs="Arial"/>
        </w:rPr>
        <w:t>con los fondos de inversión diferente a la relación tradicional de inversionista</w:t>
      </w:r>
      <w:r>
        <w:rPr>
          <w:rFonts w:ascii="Arial" w:hAnsi="Arial" w:cs="Arial"/>
        </w:rPr>
        <w:t xml:space="preserve">, y faculta a la </w:t>
      </w:r>
      <w:r w:rsidR="00B24B8B" w:rsidRPr="003B4405">
        <w:rPr>
          <w:rFonts w:ascii="Arial" w:hAnsi="Arial" w:cs="Arial"/>
        </w:rPr>
        <w:t>Sugeval</w:t>
      </w:r>
      <w:r>
        <w:rPr>
          <w:rFonts w:ascii="Arial" w:hAnsi="Arial" w:cs="Arial"/>
        </w:rPr>
        <w:t xml:space="preserve"> </w:t>
      </w:r>
      <w:r w:rsidR="00B24B8B" w:rsidRPr="003B4405">
        <w:rPr>
          <w:rFonts w:ascii="Arial" w:hAnsi="Arial" w:cs="Arial"/>
        </w:rPr>
        <w:t xml:space="preserve">la </w:t>
      </w:r>
      <w:r w:rsidR="00B24B8B" w:rsidRPr="003B4405">
        <w:rPr>
          <w:rFonts w:ascii="Arial" w:hAnsi="Arial" w:cs="Arial"/>
        </w:rPr>
        <w:lastRenderedPageBreak/>
        <w:t xml:space="preserve">determinación de los requisitos y procesos de diligencia debida aplicables a </w:t>
      </w:r>
      <w:r>
        <w:rPr>
          <w:rFonts w:ascii="Arial" w:hAnsi="Arial" w:cs="Arial"/>
        </w:rPr>
        <w:t>estas personas</w:t>
      </w:r>
      <w:r w:rsidR="00B24B8B" w:rsidRPr="003B4405">
        <w:rPr>
          <w:rFonts w:ascii="Arial" w:hAnsi="Arial" w:cs="Arial"/>
        </w:rPr>
        <w:t>.</w:t>
      </w:r>
    </w:p>
    <w:p w14:paraId="5E6ADDD4"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44CD0228" w14:textId="77777777" w:rsidR="00D676A7" w:rsidRDefault="00D676A7" w:rsidP="00DC12B2">
      <w:pPr>
        <w:pStyle w:val="Prrafodelista"/>
        <w:numPr>
          <w:ilvl w:val="0"/>
          <w:numId w:val="16"/>
        </w:numPr>
        <w:autoSpaceDE w:val="0"/>
        <w:autoSpaceDN w:val="0"/>
        <w:adjustRightInd w:val="0"/>
        <w:spacing w:before="120" w:after="120" w:line="240" w:lineRule="auto"/>
        <w:jc w:val="both"/>
        <w:rPr>
          <w:rFonts w:ascii="Arial" w:hAnsi="Arial" w:cs="Arial"/>
        </w:rPr>
      </w:pPr>
      <w:r w:rsidRPr="003B4405">
        <w:rPr>
          <w:rFonts w:ascii="Arial" w:hAnsi="Arial" w:cs="Arial"/>
        </w:rPr>
        <w:t>El artículo 16 bis de la Ley sobre estupefacientes, sustancias psicotrópicas, drogas de uso no autorizado, actividades conexas, legitimación de capitales y financiamiento al terrorismo, Ley 7786, ordena la creación de la base de datos con información de la política conozca a su cliente de los sujetos obligados, para lo cual se desarrolló la plataforma tecnológica Centro de Información Conozca a su Cliente (CICAC),</w:t>
      </w:r>
      <w:r w:rsidR="00F47020">
        <w:rPr>
          <w:rFonts w:ascii="Arial" w:hAnsi="Arial" w:cs="Arial"/>
        </w:rPr>
        <w:t xml:space="preserve"> como herramienta para </w:t>
      </w:r>
      <w:r w:rsidRPr="003B4405">
        <w:rPr>
          <w:rFonts w:ascii="Arial" w:hAnsi="Arial" w:cs="Arial"/>
        </w:rPr>
        <w:t>mejorar y hacer más eficientes los procesos que se realizan</w:t>
      </w:r>
      <w:r w:rsidR="00F47020">
        <w:rPr>
          <w:rFonts w:ascii="Arial" w:hAnsi="Arial" w:cs="Arial"/>
        </w:rPr>
        <w:t xml:space="preserve"> para la prevención de riesgos </w:t>
      </w:r>
      <w:r w:rsidR="00F47020" w:rsidRPr="003B4405">
        <w:rPr>
          <w:rFonts w:ascii="Arial" w:hAnsi="Arial" w:cs="Arial"/>
        </w:rPr>
        <w:t>LC/FT/FPADM</w:t>
      </w:r>
      <w:r w:rsidRPr="003B4405">
        <w:rPr>
          <w:rFonts w:ascii="Arial" w:hAnsi="Arial" w:cs="Arial"/>
        </w:rPr>
        <w:t>.</w:t>
      </w:r>
    </w:p>
    <w:p w14:paraId="07D880D7" w14:textId="77777777" w:rsidR="006241D1" w:rsidRDefault="006241D1" w:rsidP="006241D1">
      <w:pPr>
        <w:pStyle w:val="Prrafodelista"/>
        <w:autoSpaceDE w:val="0"/>
        <w:autoSpaceDN w:val="0"/>
        <w:adjustRightInd w:val="0"/>
        <w:spacing w:before="120" w:after="120" w:line="240" w:lineRule="auto"/>
        <w:ind w:left="1080"/>
        <w:jc w:val="both"/>
        <w:rPr>
          <w:rFonts w:ascii="Arial" w:hAnsi="Arial" w:cs="Arial"/>
        </w:rPr>
      </w:pPr>
    </w:p>
    <w:p w14:paraId="17D37673" w14:textId="77777777" w:rsidR="006241D1" w:rsidRDefault="001B4E14" w:rsidP="006241D1">
      <w:pPr>
        <w:pStyle w:val="Prrafodelista"/>
        <w:numPr>
          <w:ilvl w:val="0"/>
          <w:numId w:val="16"/>
        </w:numPr>
        <w:autoSpaceDE w:val="0"/>
        <w:autoSpaceDN w:val="0"/>
        <w:adjustRightInd w:val="0"/>
        <w:spacing w:before="120" w:after="120" w:line="240" w:lineRule="auto"/>
        <w:jc w:val="both"/>
        <w:rPr>
          <w:rFonts w:ascii="Arial" w:hAnsi="Arial" w:cs="Arial"/>
        </w:rPr>
      </w:pPr>
      <w:r>
        <w:rPr>
          <w:rFonts w:ascii="Arial" w:hAnsi="Arial" w:cs="Arial"/>
        </w:rPr>
        <w:t xml:space="preserve">Se hace necesario emitir un lineamiento específico para la gestión del riesgo </w:t>
      </w:r>
      <w:r w:rsidR="0092781B">
        <w:rPr>
          <w:rFonts w:ascii="Arial" w:hAnsi="Arial" w:cs="Arial"/>
        </w:rPr>
        <w:t>LC</w:t>
      </w:r>
      <w:r>
        <w:rPr>
          <w:rFonts w:ascii="Arial" w:hAnsi="Arial" w:cs="Arial"/>
        </w:rPr>
        <w:t>/FT/FPA</w:t>
      </w:r>
      <w:r w:rsidR="0092781B">
        <w:rPr>
          <w:rFonts w:ascii="Arial" w:hAnsi="Arial" w:cs="Arial"/>
        </w:rPr>
        <w:t>D</w:t>
      </w:r>
      <w:r>
        <w:rPr>
          <w:rFonts w:ascii="Arial" w:hAnsi="Arial" w:cs="Arial"/>
        </w:rPr>
        <w:t xml:space="preserve">M para las PVFI que tenga como </w:t>
      </w:r>
      <w:r w:rsidRPr="003B4405">
        <w:rPr>
          <w:rFonts w:ascii="Arial" w:hAnsi="Arial" w:cs="Arial"/>
        </w:rPr>
        <w:t>objeto determinar los requisitos y procesos de diligencia debida aplicables a las personas vinculadas a los fondos de inversión y capital de riesgo en función de la autogestión en la administración de los riesgos de LC/FT/FPADM</w:t>
      </w:r>
      <w:r>
        <w:rPr>
          <w:rFonts w:ascii="Arial" w:hAnsi="Arial" w:cs="Arial"/>
        </w:rPr>
        <w:t>.</w:t>
      </w:r>
    </w:p>
    <w:p w14:paraId="2673D20D" w14:textId="77777777" w:rsidR="006241D1" w:rsidRPr="006241D1" w:rsidRDefault="006241D1" w:rsidP="006241D1">
      <w:pPr>
        <w:pStyle w:val="Prrafodelista"/>
        <w:rPr>
          <w:rFonts w:ascii="Arial" w:hAnsi="Arial" w:cs="Arial"/>
        </w:rPr>
      </w:pPr>
    </w:p>
    <w:p w14:paraId="444E0002" w14:textId="77777777" w:rsidR="00D805B5" w:rsidRPr="006241D1" w:rsidRDefault="00D805B5" w:rsidP="006241D1">
      <w:pPr>
        <w:pStyle w:val="Prrafodelista"/>
        <w:numPr>
          <w:ilvl w:val="0"/>
          <w:numId w:val="16"/>
        </w:numPr>
        <w:autoSpaceDE w:val="0"/>
        <w:autoSpaceDN w:val="0"/>
        <w:adjustRightInd w:val="0"/>
        <w:spacing w:before="120" w:after="120" w:line="240" w:lineRule="auto"/>
        <w:jc w:val="both"/>
        <w:rPr>
          <w:rFonts w:ascii="Arial" w:hAnsi="Arial" w:cs="Arial"/>
        </w:rPr>
      </w:pPr>
      <w:r w:rsidRPr="006241D1">
        <w:rPr>
          <w:rFonts w:ascii="Arial" w:hAnsi="Arial" w:cs="Arial"/>
        </w:rPr>
        <w:t>La presente reforma a los Acuerdos fue sometida a consulta de conformidad con el Artículo 361 de la Ley General de Administración Pública. Al término de la consulta se hizo un análisis de los comentarios y las observaciones recibidas y se modificó el texto en lo que se consideró pertinente.</w:t>
      </w:r>
    </w:p>
    <w:p w14:paraId="7F632AE8" w14:textId="77777777" w:rsidR="00603E45" w:rsidRPr="003B4405" w:rsidRDefault="00603E45" w:rsidP="00DC12B2">
      <w:pPr>
        <w:autoSpaceDE w:val="0"/>
        <w:autoSpaceDN w:val="0"/>
        <w:adjustRightInd w:val="0"/>
        <w:spacing w:before="120" w:after="120" w:line="240" w:lineRule="auto"/>
        <w:jc w:val="both"/>
        <w:rPr>
          <w:rFonts w:ascii="Arial" w:hAnsi="Arial" w:cs="Arial"/>
          <w:b/>
          <w:bCs/>
        </w:rPr>
      </w:pPr>
    </w:p>
    <w:p w14:paraId="1A7212D9" w14:textId="77777777" w:rsidR="00D676A7" w:rsidRPr="003B4405" w:rsidRDefault="00603E45" w:rsidP="00DC12B2">
      <w:pPr>
        <w:autoSpaceDE w:val="0"/>
        <w:autoSpaceDN w:val="0"/>
        <w:adjustRightInd w:val="0"/>
        <w:spacing w:before="120" w:after="120" w:line="240" w:lineRule="auto"/>
        <w:jc w:val="both"/>
        <w:rPr>
          <w:rFonts w:ascii="Arial" w:hAnsi="Arial" w:cs="Arial"/>
          <w:b/>
          <w:bCs/>
        </w:rPr>
      </w:pPr>
      <w:r w:rsidRPr="003B4405">
        <w:rPr>
          <w:rFonts w:ascii="Arial" w:hAnsi="Arial" w:cs="Arial"/>
          <w:b/>
          <w:bCs/>
        </w:rPr>
        <w:t>D</w:t>
      </w:r>
      <w:r w:rsidR="00D676A7" w:rsidRPr="003B4405">
        <w:rPr>
          <w:rFonts w:ascii="Arial" w:hAnsi="Arial" w:cs="Arial"/>
          <w:b/>
          <w:bCs/>
        </w:rPr>
        <w:t>ispone:</w:t>
      </w:r>
    </w:p>
    <w:p w14:paraId="2549DF62" w14:textId="77777777" w:rsidR="00D676A7" w:rsidRPr="003B4405" w:rsidRDefault="00D676A7" w:rsidP="00DC12B2">
      <w:pPr>
        <w:autoSpaceDE w:val="0"/>
        <w:autoSpaceDN w:val="0"/>
        <w:adjustRightInd w:val="0"/>
        <w:spacing w:before="120" w:after="120" w:line="240" w:lineRule="auto"/>
        <w:jc w:val="both"/>
        <w:rPr>
          <w:rFonts w:ascii="Arial" w:hAnsi="Arial" w:cs="Arial"/>
        </w:rPr>
      </w:pPr>
    </w:p>
    <w:p w14:paraId="1E0B7032" w14:textId="77777777" w:rsidR="00130BC1" w:rsidRPr="003B4405" w:rsidRDefault="00D676A7" w:rsidP="00DC12B2">
      <w:pPr>
        <w:autoSpaceDE w:val="0"/>
        <w:autoSpaceDN w:val="0"/>
        <w:adjustRightInd w:val="0"/>
        <w:spacing w:before="120" w:after="120" w:line="240" w:lineRule="auto"/>
        <w:jc w:val="both"/>
        <w:rPr>
          <w:rFonts w:ascii="Arial" w:hAnsi="Arial" w:cs="Arial"/>
        </w:rPr>
      </w:pPr>
      <w:r w:rsidRPr="003B4405">
        <w:rPr>
          <w:rFonts w:ascii="Arial" w:hAnsi="Arial" w:cs="Arial"/>
        </w:rPr>
        <w:t>Emitir el Acuerdo SGV-A</w:t>
      </w:r>
      <w:r w:rsidRPr="00AB62CB">
        <w:rPr>
          <w:rFonts w:ascii="Arial" w:hAnsi="Arial" w:cs="Arial"/>
        </w:rPr>
        <w:t>-</w:t>
      </w:r>
      <w:r w:rsidR="00AB62CB" w:rsidRPr="00AB62CB">
        <w:rPr>
          <w:rFonts w:ascii="Arial" w:hAnsi="Arial" w:cs="Arial"/>
        </w:rPr>
        <w:t>270</w:t>
      </w:r>
      <w:r w:rsidRPr="003B4405">
        <w:rPr>
          <w:rFonts w:ascii="Arial" w:hAnsi="Arial" w:cs="Arial"/>
        </w:rPr>
        <w:t xml:space="preserve"> ‘Lineamientos específicos para la prevención del riesgo de LC/FT/FPADM, aplicables a las personas vinculadas a los fondos de inversión’ en lo siguiente:</w:t>
      </w:r>
    </w:p>
    <w:p w14:paraId="37DBED7B" w14:textId="77777777" w:rsidR="00D676A7" w:rsidRDefault="00D676A7" w:rsidP="00097227">
      <w:pPr>
        <w:rPr>
          <w:noProof/>
        </w:rPr>
      </w:pPr>
      <w:bookmarkStart w:id="0" w:name="_Toc50647014"/>
    </w:p>
    <w:p w14:paraId="0B324DD2" w14:textId="77777777" w:rsidR="00FA0CE7" w:rsidRPr="007D390C" w:rsidRDefault="00FA0CE7" w:rsidP="00FA0CE7">
      <w:pPr>
        <w:autoSpaceDE w:val="0"/>
        <w:autoSpaceDN w:val="0"/>
        <w:adjustRightInd w:val="0"/>
        <w:spacing w:before="120" w:after="120" w:line="240" w:lineRule="auto"/>
        <w:jc w:val="center"/>
        <w:rPr>
          <w:rFonts w:ascii="Arial" w:hAnsi="Arial" w:cs="Arial"/>
          <w:b/>
          <w:bCs/>
        </w:rPr>
      </w:pPr>
      <w:r w:rsidRPr="007D390C">
        <w:rPr>
          <w:rFonts w:ascii="Arial" w:hAnsi="Arial" w:cs="Arial"/>
          <w:b/>
          <w:bCs/>
        </w:rPr>
        <w:t>“SGV-A-</w:t>
      </w:r>
      <w:r w:rsidR="007D390C" w:rsidRPr="007D390C">
        <w:rPr>
          <w:rFonts w:ascii="Arial" w:hAnsi="Arial" w:cs="Arial"/>
          <w:b/>
          <w:bCs/>
        </w:rPr>
        <w:t>270</w:t>
      </w:r>
      <w:r w:rsidRPr="007D390C">
        <w:rPr>
          <w:rFonts w:ascii="Arial" w:hAnsi="Arial" w:cs="Arial"/>
          <w:b/>
          <w:bCs/>
        </w:rPr>
        <w:t xml:space="preserve"> LINEAMIENTOS ESPECÍFICOS PARA LA PREVENCIÓN DEL RIESGO DE LC/FT/FPADM, APLICABLES A LAS PERSONAS VINCULADAS A LOS FONDOS DE INVERSIÓN</w:t>
      </w:r>
    </w:p>
    <w:p w14:paraId="23E0255E" w14:textId="77777777" w:rsidR="00FA0CE7" w:rsidRPr="00FA0CE7" w:rsidRDefault="00FA0CE7" w:rsidP="00FA0CE7"/>
    <w:p w14:paraId="690643D7" w14:textId="77777777" w:rsidR="00D676A7" w:rsidRPr="003B4405" w:rsidRDefault="00D676A7" w:rsidP="00DC12B2">
      <w:pPr>
        <w:pStyle w:val="Ttulo1"/>
        <w:spacing w:before="120" w:after="120"/>
        <w:jc w:val="center"/>
        <w:rPr>
          <w:rFonts w:ascii="Arial" w:eastAsia="Times New Roman" w:hAnsi="Arial" w:cs="Arial"/>
          <w:b/>
          <w:bCs/>
          <w:noProof/>
          <w:color w:val="auto"/>
          <w:sz w:val="22"/>
          <w:szCs w:val="22"/>
        </w:rPr>
      </w:pPr>
      <w:bookmarkStart w:id="1" w:name="_Toc50647015"/>
      <w:bookmarkStart w:id="2" w:name="_Toc93484858"/>
      <w:r w:rsidRPr="003B4405">
        <w:rPr>
          <w:rFonts w:ascii="Arial" w:eastAsia="Times New Roman" w:hAnsi="Arial" w:cs="Arial"/>
          <w:b/>
          <w:bCs/>
          <w:noProof/>
          <w:color w:val="auto"/>
          <w:sz w:val="22"/>
          <w:szCs w:val="22"/>
        </w:rPr>
        <w:t>CAPÍTULO I</w:t>
      </w:r>
      <w:bookmarkEnd w:id="1"/>
      <w:bookmarkEnd w:id="2"/>
    </w:p>
    <w:p w14:paraId="30656DE4" w14:textId="77777777" w:rsidR="00B91589" w:rsidRPr="003B4405" w:rsidRDefault="00B91589" w:rsidP="00DC12B2">
      <w:pPr>
        <w:pStyle w:val="Ttulo1"/>
        <w:spacing w:before="120" w:after="120"/>
        <w:jc w:val="center"/>
        <w:rPr>
          <w:rFonts w:ascii="Arial" w:eastAsia="Times New Roman" w:hAnsi="Arial" w:cs="Arial"/>
          <w:b/>
          <w:bCs/>
          <w:noProof/>
          <w:color w:val="auto"/>
          <w:sz w:val="22"/>
          <w:szCs w:val="22"/>
        </w:rPr>
      </w:pPr>
      <w:bookmarkStart w:id="3" w:name="_Toc93484859"/>
      <w:r w:rsidRPr="003B4405">
        <w:rPr>
          <w:rFonts w:ascii="Arial" w:eastAsia="Times New Roman" w:hAnsi="Arial" w:cs="Arial"/>
          <w:b/>
          <w:bCs/>
          <w:noProof/>
          <w:color w:val="auto"/>
          <w:sz w:val="22"/>
          <w:szCs w:val="22"/>
        </w:rPr>
        <w:t>DISPOSICIONES GENERALES</w:t>
      </w:r>
      <w:bookmarkEnd w:id="0"/>
      <w:bookmarkEnd w:id="3"/>
    </w:p>
    <w:p w14:paraId="3E35950D" w14:textId="77777777" w:rsidR="004E307C" w:rsidRPr="003B4405" w:rsidRDefault="004E307C" w:rsidP="00DC12B2">
      <w:pPr>
        <w:spacing w:before="120" w:after="120"/>
        <w:rPr>
          <w:rFonts w:ascii="Arial" w:hAnsi="Arial" w:cs="Arial"/>
          <w:b/>
          <w:bCs/>
        </w:rPr>
      </w:pPr>
    </w:p>
    <w:p w14:paraId="28A3E9AB" w14:textId="77777777" w:rsidR="003345D9" w:rsidRPr="003B4405" w:rsidRDefault="00076EF2" w:rsidP="00DC12B2">
      <w:pPr>
        <w:pStyle w:val="Ttulo2"/>
        <w:spacing w:before="120" w:after="120"/>
        <w:rPr>
          <w:rFonts w:ascii="Arial" w:hAnsi="Arial" w:cs="Arial"/>
          <w:b/>
          <w:bCs/>
          <w:color w:val="auto"/>
          <w:sz w:val="22"/>
          <w:szCs w:val="22"/>
        </w:rPr>
      </w:pPr>
      <w:bookmarkStart w:id="4" w:name="_Toc93484860"/>
      <w:r w:rsidRPr="003B4405">
        <w:rPr>
          <w:rFonts w:ascii="Arial" w:hAnsi="Arial" w:cs="Arial"/>
          <w:b/>
          <w:bCs/>
          <w:color w:val="auto"/>
          <w:sz w:val="22"/>
          <w:szCs w:val="22"/>
        </w:rPr>
        <w:t xml:space="preserve">Artículo </w:t>
      </w:r>
      <w:r w:rsidR="00AF69E0" w:rsidRPr="003B4405">
        <w:rPr>
          <w:rFonts w:ascii="Arial" w:hAnsi="Arial" w:cs="Arial"/>
          <w:b/>
          <w:bCs/>
          <w:color w:val="auto"/>
          <w:sz w:val="22"/>
          <w:szCs w:val="22"/>
        </w:rPr>
        <w:t>1</w:t>
      </w:r>
      <w:r w:rsidRPr="003B4405">
        <w:rPr>
          <w:rFonts w:ascii="Arial" w:hAnsi="Arial" w:cs="Arial"/>
          <w:b/>
          <w:bCs/>
          <w:color w:val="auto"/>
          <w:sz w:val="22"/>
          <w:szCs w:val="22"/>
        </w:rPr>
        <w:t xml:space="preserve">. </w:t>
      </w:r>
      <w:r w:rsidR="003345D9" w:rsidRPr="003B4405">
        <w:rPr>
          <w:rFonts w:ascii="Arial" w:hAnsi="Arial" w:cs="Arial"/>
          <w:b/>
          <w:bCs/>
          <w:color w:val="auto"/>
          <w:sz w:val="22"/>
          <w:szCs w:val="22"/>
        </w:rPr>
        <w:t>Objeto</w:t>
      </w:r>
      <w:bookmarkEnd w:id="4"/>
    </w:p>
    <w:p w14:paraId="334805B6" w14:textId="77777777" w:rsidR="00B3704F" w:rsidRPr="003B4405" w:rsidRDefault="00B3704F" w:rsidP="00DC12B2">
      <w:pPr>
        <w:autoSpaceDE w:val="0"/>
        <w:autoSpaceDN w:val="0"/>
        <w:adjustRightInd w:val="0"/>
        <w:spacing w:before="120" w:after="120" w:line="240" w:lineRule="auto"/>
        <w:jc w:val="both"/>
        <w:rPr>
          <w:rFonts w:ascii="Arial" w:hAnsi="Arial" w:cs="Arial"/>
        </w:rPr>
      </w:pPr>
      <w:r w:rsidRPr="003B4405">
        <w:rPr>
          <w:rFonts w:ascii="Arial" w:hAnsi="Arial" w:cs="Arial"/>
        </w:rPr>
        <w:t xml:space="preserve">Estos lineamientos tienen por objeto determinar los requisitos y procesos de diligencia debida aplicables a las personas vinculadas a los fondos de inversión en función de la administración de </w:t>
      </w:r>
      <w:r w:rsidR="00183734" w:rsidRPr="003B4405">
        <w:rPr>
          <w:rFonts w:ascii="Arial" w:hAnsi="Arial" w:cs="Arial"/>
        </w:rPr>
        <w:t xml:space="preserve">los </w:t>
      </w:r>
      <w:r w:rsidRPr="003B4405">
        <w:rPr>
          <w:rFonts w:ascii="Arial" w:hAnsi="Arial" w:cs="Arial"/>
        </w:rPr>
        <w:t>riesgos</w:t>
      </w:r>
      <w:r w:rsidR="00183734" w:rsidRPr="003B4405">
        <w:rPr>
          <w:rFonts w:ascii="Arial" w:hAnsi="Arial" w:cs="Arial"/>
        </w:rPr>
        <w:t xml:space="preserve"> de LC/FT/FPADM</w:t>
      </w:r>
      <w:r w:rsidR="00E40A63">
        <w:rPr>
          <w:rFonts w:ascii="Arial" w:hAnsi="Arial" w:cs="Arial"/>
        </w:rPr>
        <w:t xml:space="preserve"> por parte de las </w:t>
      </w:r>
      <w:r w:rsidR="00F02275">
        <w:rPr>
          <w:rFonts w:ascii="Arial" w:hAnsi="Arial" w:cs="Arial"/>
        </w:rPr>
        <w:t>sociedades administradoras de fondos de inversión</w:t>
      </w:r>
      <w:r w:rsidRPr="003B4405">
        <w:rPr>
          <w:rFonts w:ascii="Arial" w:hAnsi="Arial" w:cs="Arial"/>
        </w:rPr>
        <w:t>.</w:t>
      </w:r>
    </w:p>
    <w:p w14:paraId="6D0FE09F" w14:textId="77777777" w:rsidR="003345D9" w:rsidRPr="003B4405" w:rsidRDefault="003345D9" w:rsidP="00DC12B2">
      <w:pPr>
        <w:autoSpaceDE w:val="0"/>
        <w:autoSpaceDN w:val="0"/>
        <w:adjustRightInd w:val="0"/>
        <w:spacing w:before="120" w:after="120" w:line="240" w:lineRule="auto"/>
        <w:jc w:val="both"/>
        <w:rPr>
          <w:rFonts w:ascii="Arial" w:hAnsi="Arial" w:cs="Arial"/>
          <w:b/>
          <w:bCs/>
        </w:rPr>
      </w:pPr>
    </w:p>
    <w:p w14:paraId="152914DF" w14:textId="77777777" w:rsidR="00076EF2" w:rsidRPr="003B4405" w:rsidRDefault="003345D9" w:rsidP="00DC12B2">
      <w:pPr>
        <w:pStyle w:val="Ttulo2"/>
        <w:spacing w:before="120" w:after="120"/>
        <w:rPr>
          <w:rFonts w:ascii="Arial" w:hAnsi="Arial" w:cs="Arial"/>
          <w:b/>
          <w:bCs/>
          <w:color w:val="auto"/>
          <w:sz w:val="22"/>
          <w:szCs w:val="22"/>
        </w:rPr>
      </w:pPr>
      <w:bookmarkStart w:id="5" w:name="_Toc93484861"/>
      <w:r w:rsidRPr="003B4405">
        <w:rPr>
          <w:rFonts w:ascii="Arial" w:hAnsi="Arial" w:cs="Arial"/>
          <w:b/>
          <w:bCs/>
          <w:color w:val="auto"/>
          <w:sz w:val="22"/>
          <w:szCs w:val="22"/>
        </w:rPr>
        <w:lastRenderedPageBreak/>
        <w:t xml:space="preserve">Artículo </w:t>
      </w:r>
      <w:r w:rsidR="00AF69E0" w:rsidRPr="003B4405">
        <w:rPr>
          <w:rFonts w:ascii="Arial" w:hAnsi="Arial" w:cs="Arial"/>
          <w:b/>
          <w:bCs/>
          <w:color w:val="auto"/>
          <w:sz w:val="22"/>
          <w:szCs w:val="22"/>
        </w:rPr>
        <w:t>2</w:t>
      </w:r>
      <w:r w:rsidRPr="003B4405">
        <w:rPr>
          <w:rFonts w:ascii="Arial" w:hAnsi="Arial" w:cs="Arial"/>
          <w:b/>
          <w:bCs/>
          <w:color w:val="auto"/>
          <w:sz w:val="22"/>
          <w:szCs w:val="22"/>
        </w:rPr>
        <w:t xml:space="preserve">. </w:t>
      </w:r>
      <w:r w:rsidR="00076EF2" w:rsidRPr="003B4405">
        <w:rPr>
          <w:rFonts w:ascii="Arial" w:hAnsi="Arial" w:cs="Arial"/>
          <w:b/>
          <w:bCs/>
          <w:color w:val="auto"/>
          <w:sz w:val="22"/>
          <w:szCs w:val="22"/>
        </w:rPr>
        <w:t>Alcance</w:t>
      </w:r>
      <w:bookmarkEnd w:id="5"/>
    </w:p>
    <w:p w14:paraId="64127212" w14:textId="77777777" w:rsidR="00E80DE5" w:rsidRPr="003B4405" w:rsidRDefault="00137ECD" w:rsidP="00DC12B2">
      <w:pPr>
        <w:autoSpaceDE w:val="0"/>
        <w:autoSpaceDN w:val="0"/>
        <w:adjustRightInd w:val="0"/>
        <w:spacing w:before="120" w:after="120" w:line="240" w:lineRule="auto"/>
        <w:jc w:val="both"/>
        <w:rPr>
          <w:rFonts w:ascii="Arial" w:hAnsi="Arial" w:cs="Arial"/>
        </w:rPr>
      </w:pPr>
      <w:r w:rsidRPr="003B4405">
        <w:rPr>
          <w:rFonts w:ascii="Arial" w:hAnsi="Arial" w:cs="Arial"/>
        </w:rPr>
        <w:t>En adición a</w:t>
      </w:r>
      <w:r w:rsidR="00AF69E0" w:rsidRPr="003B4405">
        <w:rPr>
          <w:rFonts w:ascii="Arial" w:hAnsi="Arial" w:cs="Arial"/>
        </w:rPr>
        <w:t xml:space="preserve"> </w:t>
      </w:r>
      <w:r w:rsidRPr="003B4405">
        <w:rPr>
          <w:rFonts w:ascii="Arial" w:hAnsi="Arial" w:cs="Arial"/>
        </w:rPr>
        <w:t>l</w:t>
      </w:r>
      <w:r w:rsidR="00AF69E0" w:rsidRPr="003B4405">
        <w:rPr>
          <w:rFonts w:ascii="Arial" w:hAnsi="Arial" w:cs="Arial"/>
        </w:rPr>
        <w:t>o indicado en</w:t>
      </w:r>
      <w:r w:rsidR="00D37ABC">
        <w:rPr>
          <w:rFonts w:ascii="Arial" w:hAnsi="Arial" w:cs="Arial"/>
        </w:rPr>
        <w:t xml:space="preserve"> la Ley 7786 y</w:t>
      </w:r>
      <w:r w:rsidR="00AF69E0" w:rsidRPr="003B4405">
        <w:rPr>
          <w:rFonts w:ascii="Arial" w:hAnsi="Arial" w:cs="Arial"/>
        </w:rPr>
        <w:t xml:space="preserve"> </w:t>
      </w:r>
      <w:r w:rsidR="0090635D">
        <w:rPr>
          <w:rFonts w:ascii="Arial" w:hAnsi="Arial" w:cs="Arial"/>
        </w:rPr>
        <w:t xml:space="preserve">en </w:t>
      </w:r>
      <w:r w:rsidR="00AF69E0" w:rsidRPr="003B4405">
        <w:rPr>
          <w:rFonts w:ascii="Arial" w:hAnsi="Arial" w:cs="Arial"/>
        </w:rPr>
        <w:t>el artículo 2 sobre el ámbito de aplicación del</w:t>
      </w:r>
      <w:r w:rsidRPr="003B4405">
        <w:rPr>
          <w:rFonts w:ascii="Arial" w:hAnsi="Arial" w:cs="Arial"/>
        </w:rPr>
        <w:t xml:space="preserve"> Reglamento </w:t>
      </w:r>
      <w:r w:rsidR="00AF69E0" w:rsidRPr="003B4405">
        <w:rPr>
          <w:rFonts w:ascii="Arial" w:hAnsi="Arial" w:cs="Arial"/>
        </w:rPr>
        <w:t xml:space="preserve">de Prevención del Riesgo de LC/FT/FPADM, </w:t>
      </w:r>
      <w:r w:rsidR="006B1ADA" w:rsidRPr="003B4405">
        <w:rPr>
          <w:rFonts w:ascii="Arial" w:hAnsi="Arial" w:cs="Arial"/>
        </w:rPr>
        <w:t>l</w:t>
      </w:r>
      <w:r w:rsidR="00076EF2" w:rsidRPr="003B4405">
        <w:rPr>
          <w:rFonts w:ascii="Arial" w:hAnsi="Arial" w:cs="Arial"/>
        </w:rPr>
        <w:t xml:space="preserve">o dispuesto en </w:t>
      </w:r>
      <w:r w:rsidR="00E80DE5" w:rsidRPr="003B4405">
        <w:rPr>
          <w:rFonts w:ascii="Arial" w:hAnsi="Arial" w:cs="Arial"/>
        </w:rPr>
        <w:t xml:space="preserve">este lineamiento </w:t>
      </w:r>
      <w:r w:rsidR="00076EF2" w:rsidRPr="003B4405">
        <w:rPr>
          <w:rFonts w:ascii="Arial" w:hAnsi="Arial" w:cs="Arial"/>
        </w:rPr>
        <w:t xml:space="preserve">aplica a las </w:t>
      </w:r>
      <w:r w:rsidR="008C3670" w:rsidRPr="003B4405">
        <w:rPr>
          <w:rFonts w:ascii="Arial" w:hAnsi="Arial" w:cs="Arial"/>
        </w:rPr>
        <w:t>sociedades</w:t>
      </w:r>
      <w:r w:rsidR="00AF69E0" w:rsidRPr="003B4405">
        <w:rPr>
          <w:rFonts w:ascii="Arial" w:hAnsi="Arial" w:cs="Arial"/>
        </w:rPr>
        <w:t xml:space="preserve"> administradoras</w:t>
      </w:r>
      <w:r w:rsidR="008C3670" w:rsidRPr="003B4405">
        <w:rPr>
          <w:rFonts w:ascii="Arial" w:hAnsi="Arial" w:cs="Arial"/>
        </w:rPr>
        <w:t xml:space="preserve"> de fondos</w:t>
      </w:r>
      <w:r w:rsidR="00076EF2" w:rsidRPr="003B4405">
        <w:rPr>
          <w:rFonts w:ascii="Arial" w:hAnsi="Arial" w:cs="Arial"/>
        </w:rPr>
        <w:t xml:space="preserve"> </w:t>
      </w:r>
      <w:r w:rsidR="00AF69E0" w:rsidRPr="003B4405">
        <w:rPr>
          <w:rFonts w:ascii="Arial" w:hAnsi="Arial" w:cs="Arial"/>
        </w:rPr>
        <w:t xml:space="preserve">de inversión </w:t>
      </w:r>
      <w:r w:rsidR="00076EF2" w:rsidRPr="003B4405">
        <w:rPr>
          <w:rFonts w:ascii="Arial" w:hAnsi="Arial" w:cs="Arial"/>
        </w:rPr>
        <w:t xml:space="preserve">que </w:t>
      </w:r>
      <w:r w:rsidR="00E80DE5" w:rsidRPr="003B4405">
        <w:rPr>
          <w:rFonts w:ascii="Arial" w:hAnsi="Arial" w:cs="Arial"/>
        </w:rPr>
        <w:t>manejan</w:t>
      </w:r>
      <w:r w:rsidR="00076EF2" w:rsidRPr="003B4405">
        <w:rPr>
          <w:rFonts w:ascii="Arial" w:hAnsi="Arial" w:cs="Arial"/>
        </w:rPr>
        <w:t xml:space="preserve"> </w:t>
      </w:r>
      <w:r w:rsidR="00E80DE5" w:rsidRPr="003B4405">
        <w:rPr>
          <w:rFonts w:ascii="Arial" w:hAnsi="Arial" w:cs="Arial"/>
        </w:rPr>
        <w:t>fondos inmobiliarios</w:t>
      </w:r>
      <w:r w:rsidR="00100281">
        <w:rPr>
          <w:rFonts w:ascii="Arial" w:hAnsi="Arial" w:cs="Arial"/>
        </w:rPr>
        <w:t>,</w:t>
      </w:r>
      <w:r w:rsidR="00E80DE5" w:rsidRPr="003B4405">
        <w:rPr>
          <w:rFonts w:ascii="Arial" w:hAnsi="Arial" w:cs="Arial"/>
        </w:rPr>
        <w:t xml:space="preserve"> de desarrollo de proyectos </w:t>
      </w:r>
      <w:r w:rsidR="00100281">
        <w:rPr>
          <w:rFonts w:ascii="Arial" w:hAnsi="Arial" w:cs="Arial"/>
        </w:rPr>
        <w:t>o</w:t>
      </w:r>
      <w:r w:rsidR="00E80DE5" w:rsidRPr="003B4405">
        <w:rPr>
          <w:rFonts w:ascii="Arial" w:hAnsi="Arial" w:cs="Arial"/>
        </w:rPr>
        <w:t xml:space="preserve"> fondos de capital de riesgo</w:t>
      </w:r>
      <w:r w:rsidR="00076EF2" w:rsidRPr="003B4405">
        <w:rPr>
          <w:rFonts w:ascii="Arial" w:hAnsi="Arial" w:cs="Arial"/>
        </w:rPr>
        <w:t>, autorizad</w:t>
      </w:r>
      <w:r w:rsidR="004C6F38">
        <w:rPr>
          <w:rFonts w:ascii="Arial" w:hAnsi="Arial" w:cs="Arial"/>
        </w:rPr>
        <w:t>o</w:t>
      </w:r>
      <w:r w:rsidR="00076EF2" w:rsidRPr="003B4405">
        <w:rPr>
          <w:rFonts w:ascii="Arial" w:hAnsi="Arial" w:cs="Arial"/>
        </w:rPr>
        <w:t>s por la SUGEVAL</w:t>
      </w:r>
      <w:r w:rsidR="00E80DE5" w:rsidRPr="003B4405">
        <w:rPr>
          <w:rFonts w:ascii="Arial" w:hAnsi="Arial" w:cs="Arial"/>
        </w:rPr>
        <w:t>.</w:t>
      </w:r>
    </w:p>
    <w:p w14:paraId="32AF0C2F" w14:textId="77777777" w:rsidR="00E80DE5" w:rsidRPr="003B4405" w:rsidRDefault="00E80DE5" w:rsidP="00DC12B2">
      <w:pPr>
        <w:autoSpaceDE w:val="0"/>
        <w:autoSpaceDN w:val="0"/>
        <w:adjustRightInd w:val="0"/>
        <w:spacing w:before="120" w:after="120" w:line="240" w:lineRule="auto"/>
        <w:jc w:val="both"/>
        <w:rPr>
          <w:rFonts w:ascii="Arial" w:hAnsi="Arial" w:cs="Arial"/>
          <w:highlight w:val="yellow"/>
        </w:rPr>
      </w:pPr>
    </w:p>
    <w:p w14:paraId="00733348" w14:textId="77777777" w:rsidR="00AF69E0" w:rsidRPr="003B4405" w:rsidRDefault="003345D9" w:rsidP="00DC12B2">
      <w:pPr>
        <w:pStyle w:val="Ttulo2"/>
        <w:spacing w:before="120" w:after="120"/>
        <w:rPr>
          <w:rFonts w:ascii="Arial" w:hAnsi="Arial" w:cs="Arial"/>
          <w:b/>
          <w:bCs/>
          <w:color w:val="auto"/>
          <w:sz w:val="22"/>
          <w:szCs w:val="22"/>
        </w:rPr>
      </w:pPr>
      <w:bookmarkStart w:id="6" w:name="_Toc93484862"/>
      <w:r w:rsidRPr="003B4405">
        <w:rPr>
          <w:rFonts w:ascii="Arial" w:hAnsi="Arial" w:cs="Arial"/>
          <w:b/>
          <w:bCs/>
          <w:color w:val="auto"/>
          <w:sz w:val="22"/>
          <w:szCs w:val="22"/>
        </w:rPr>
        <w:t xml:space="preserve">Artículo 3. </w:t>
      </w:r>
      <w:r w:rsidR="00076EF2" w:rsidRPr="003B4405">
        <w:rPr>
          <w:rFonts w:ascii="Arial" w:hAnsi="Arial" w:cs="Arial"/>
          <w:b/>
          <w:bCs/>
          <w:color w:val="auto"/>
          <w:sz w:val="22"/>
          <w:szCs w:val="22"/>
        </w:rPr>
        <w:t>Persona vinculada con fondos de inversión (PVFI)</w:t>
      </w:r>
      <w:bookmarkEnd w:id="6"/>
    </w:p>
    <w:p w14:paraId="5E82FA37" w14:textId="77777777" w:rsidR="00C41B79" w:rsidRDefault="00AF69E0" w:rsidP="00DC12B2">
      <w:pPr>
        <w:autoSpaceDE w:val="0"/>
        <w:autoSpaceDN w:val="0"/>
        <w:adjustRightInd w:val="0"/>
        <w:spacing w:before="120" w:after="120" w:line="240" w:lineRule="auto"/>
        <w:jc w:val="both"/>
        <w:rPr>
          <w:rFonts w:ascii="Arial" w:hAnsi="Arial" w:cs="Arial"/>
        </w:rPr>
      </w:pPr>
      <w:r w:rsidRPr="003B4405">
        <w:rPr>
          <w:rFonts w:ascii="Arial" w:hAnsi="Arial" w:cs="Arial"/>
        </w:rPr>
        <w:t xml:space="preserve">Las PVFI son </w:t>
      </w:r>
      <w:r w:rsidR="00076EF2" w:rsidRPr="003B4405">
        <w:rPr>
          <w:rFonts w:ascii="Arial" w:hAnsi="Arial" w:cs="Arial"/>
        </w:rPr>
        <w:t>personas físicas o jurídicas vinculadas</w:t>
      </w:r>
      <w:r w:rsidR="00B15689" w:rsidRPr="003B4405">
        <w:rPr>
          <w:rFonts w:ascii="Arial" w:hAnsi="Arial" w:cs="Arial"/>
        </w:rPr>
        <w:t xml:space="preserve"> </w:t>
      </w:r>
      <w:r w:rsidR="00076EF2" w:rsidRPr="003B4405">
        <w:rPr>
          <w:rFonts w:ascii="Arial" w:hAnsi="Arial" w:cs="Arial"/>
        </w:rPr>
        <w:t>directa</w:t>
      </w:r>
      <w:r w:rsidR="00082623" w:rsidRPr="003B4405">
        <w:rPr>
          <w:rFonts w:ascii="Arial" w:hAnsi="Arial" w:cs="Arial"/>
        </w:rPr>
        <w:t>mente</w:t>
      </w:r>
      <w:r w:rsidR="00076EF2" w:rsidRPr="003B4405">
        <w:rPr>
          <w:rFonts w:ascii="Arial" w:hAnsi="Arial" w:cs="Arial"/>
        </w:rPr>
        <w:t xml:space="preserve"> con fondos no financieros o fondos de capital de riesgo, que pueden mantener un contrato en calidad de inquilinos</w:t>
      </w:r>
      <w:r w:rsidRPr="003B4405">
        <w:rPr>
          <w:rFonts w:ascii="Arial" w:hAnsi="Arial" w:cs="Arial"/>
        </w:rPr>
        <w:t xml:space="preserve"> o arrendatarios</w:t>
      </w:r>
      <w:r w:rsidR="004C6F38">
        <w:rPr>
          <w:rFonts w:ascii="Arial" w:hAnsi="Arial" w:cs="Arial"/>
        </w:rPr>
        <w:t>;</w:t>
      </w:r>
      <w:r w:rsidR="00076EF2" w:rsidRPr="003B4405">
        <w:rPr>
          <w:rFonts w:ascii="Arial" w:hAnsi="Arial" w:cs="Arial"/>
        </w:rPr>
        <w:t xml:space="preserve"> vendedores o compradores de activos no financieros</w:t>
      </w:r>
      <w:r w:rsidR="004C6F38">
        <w:rPr>
          <w:rFonts w:ascii="Arial" w:hAnsi="Arial" w:cs="Arial"/>
        </w:rPr>
        <w:t>;</w:t>
      </w:r>
      <w:r w:rsidR="00076EF2" w:rsidRPr="003B4405">
        <w:rPr>
          <w:rFonts w:ascii="Arial" w:hAnsi="Arial" w:cs="Arial"/>
        </w:rPr>
        <w:t xml:space="preserve"> empresas constructoras</w:t>
      </w:r>
      <w:r w:rsidR="004C6F38">
        <w:rPr>
          <w:rFonts w:ascii="Arial" w:hAnsi="Arial" w:cs="Arial"/>
        </w:rPr>
        <w:t>;</w:t>
      </w:r>
      <w:r w:rsidR="00076EF2" w:rsidRPr="003B4405">
        <w:rPr>
          <w:rFonts w:ascii="Arial" w:hAnsi="Arial" w:cs="Arial"/>
        </w:rPr>
        <w:t xml:space="preserve"> empresas promovidas</w:t>
      </w:r>
      <w:r w:rsidR="0080641F">
        <w:rPr>
          <w:rFonts w:ascii="Arial" w:hAnsi="Arial" w:cs="Arial"/>
        </w:rPr>
        <w:t xml:space="preserve">, </w:t>
      </w:r>
      <w:r w:rsidR="00851FE4">
        <w:rPr>
          <w:rFonts w:ascii="Arial" w:hAnsi="Arial" w:cs="Arial"/>
        </w:rPr>
        <w:t>gestor</w:t>
      </w:r>
      <w:r w:rsidR="004C6F38">
        <w:rPr>
          <w:rFonts w:ascii="Arial" w:hAnsi="Arial" w:cs="Arial"/>
        </w:rPr>
        <w:t>es</w:t>
      </w:r>
      <w:r w:rsidR="00851FE4">
        <w:rPr>
          <w:rFonts w:ascii="Arial" w:hAnsi="Arial" w:cs="Arial"/>
        </w:rPr>
        <w:t xml:space="preserve"> especializado</w:t>
      </w:r>
      <w:r w:rsidR="004C6F38">
        <w:rPr>
          <w:rFonts w:ascii="Arial" w:hAnsi="Arial" w:cs="Arial"/>
        </w:rPr>
        <w:t>s</w:t>
      </w:r>
      <w:r w:rsidR="00851FE4">
        <w:rPr>
          <w:rFonts w:ascii="Arial" w:hAnsi="Arial" w:cs="Arial"/>
        </w:rPr>
        <w:t xml:space="preserve"> de portafolios</w:t>
      </w:r>
      <w:r w:rsidR="004C6F38">
        <w:rPr>
          <w:rFonts w:ascii="Arial" w:hAnsi="Arial" w:cs="Arial"/>
        </w:rPr>
        <w:t>;</w:t>
      </w:r>
      <w:r w:rsidR="00076EF2" w:rsidRPr="003B4405">
        <w:rPr>
          <w:rFonts w:ascii="Arial" w:hAnsi="Arial" w:cs="Arial"/>
        </w:rPr>
        <w:t xml:space="preserve"> proveedores de servicios</w:t>
      </w:r>
      <w:r w:rsidR="004C6F38">
        <w:rPr>
          <w:rFonts w:ascii="Arial" w:hAnsi="Arial" w:cs="Arial"/>
        </w:rPr>
        <w:t>;</w:t>
      </w:r>
      <w:r w:rsidR="00082623" w:rsidRPr="003B4405">
        <w:rPr>
          <w:rFonts w:ascii="Arial" w:hAnsi="Arial" w:cs="Arial"/>
        </w:rPr>
        <w:t xml:space="preserve"> o</w:t>
      </w:r>
      <w:r w:rsidR="004C6F38">
        <w:rPr>
          <w:rFonts w:ascii="Arial" w:hAnsi="Arial" w:cs="Arial"/>
        </w:rPr>
        <w:t xml:space="preserve"> aquellas</w:t>
      </w:r>
      <w:r w:rsidR="00082623" w:rsidRPr="003B4405">
        <w:rPr>
          <w:rFonts w:ascii="Arial" w:hAnsi="Arial" w:cs="Arial"/>
        </w:rPr>
        <w:t xml:space="preserve"> vinculadas a los fondos de inversión que indirectamente les </w:t>
      </w:r>
      <w:r w:rsidR="00397A01">
        <w:rPr>
          <w:rFonts w:ascii="Arial" w:hAnsi="Arial" w:cs="Arial"/>
        </w:rPr>
        <w:t>puedan representar</w:t>
      </w:r>
      <w:r w:rsidR="00082623" w:rsidRPr="003B4405">
        <w:rPr>
          <w:rFonts w:ascii="Arial" w:hAnsi="Arial" w:cs="Arial"/>
        </w:rPr>
        <w:t xml:space="preserve"> un </w:t>
      </w:r>
      <w:r w:rsidR="002A330A">
        <w:rPr>
          <w:rFonts w:ascii="Arial" w:hAnsi="Arial" w:cs="Arial"/>
        </w:rPr>
        <w:t xml:space="preserve">mayor </w:t>
      </w:r>
      <w:r w:rsidR="00082623" w:rsidRPr="003B4405">
        <w:rPr>
          <w:rFonts w:ascii="Arial" w:hAnsi="Arial" w:cs="Arial"/>
        </w:rPr>
        <w:t>riesgo de LC/FT/FPADM.</w:t>
      </w:r>
      <w:r w:rsidR="004A4409">
        <w:rPr>
          <w:rFonts w:ascii="Arial" w:hAnsi="Arial" w:cs="Arial"/>
        </w:rPr>
        <w:t xml:space="preserve"> </w:t>
      </w:r>
      <w:r w:rsidR="00C41B79">
        <w:rPr>
          <w:rFonts w:ascii="Arial" w:hAnsi="Arial" w:cs="Arial"/>
        </w:rPr>
        <w:t>Las PVFI no consideran a los inversionistas de los fondos de inversión</w:t>
      </w:r>
      <w:r w:rsidR="0063227B">
        <w:rPr>
          <w:rFonts w:ascii="Arial" w:hAnsi="Arial" w:cs="Arial"/>
        </w:rPr>
        <w:t xml:space="preserve"> ni a los sujetos obligados del artículo 14 de la Ley 7786</w:t>
      </w:r>
      <w:r w:rsidR="00C41B79">
        <w:rPr>
          <w:rFonts w:ascii="Arial" w:hAnsi="Arial" w:cs="Arial"/>
        </w:rPr>
        <w:t>.</w:t>
      </w:r>
    </w:p>
    <w:p w14:paraId="61C5FE80" w14:textId="77777777" w:rsidR="00097227" w:rsidRPr="000E4DE0" w:rsidRDefault="004A4409" w:rsidP="00DC12B2">
      <w:pPr>
        <w:autoSpaceDE w:val="0"/>
        <w:autoSpaceDN w:val="0"/>
        <w:adjustRightInd w:val="0"/>
        <w:spacing w:before="120" w:after="120" w:line="240" w:lineRule="auto"/>
        <w:jc w:val="both"/>
        <w:rPr>
          <w:rFonts w:ascii="Arial" w:hAnsi="Arial" w:cs="Arial"/>
        </w:rPr>
      </w:pPr>
      <w:r w:rsidRPr="000E4DE0">
        <w:rPr>
          <w:rFonts w:ascii="Arial" w:hAnsi="Arial" w:cs="Arial"/>
        </w:rPr>
        <w:t>La entidad debe identificar cuáles de sus PVFI mantienen una relación comercial recurrente con el fond</w:t>
      </w:r>
      <w:r w:rsidR="007E738F" w:rsidRPr="000E4DE0">
        <w:rPr>
          <w:rFonts w:ascii="Arial" w:hAnsi="Arial" w:cs="Arial"/>
        </w:rPr>
        <w:t xml:space="preserve">o, </w:t>
      </w:r>
      <w:r w:rsidR="00CB5664" w:rsidRPr="000E4DE0">
        <w:rPr>
          <w:rFonts w:ascii="Arial" w:hAnsi="Arial" w:cs="Arial"/>
        </w:rPr>
        <w:t>es decir, PVFI que requieren el proceso de actualización de la información porque se mantienen al menos durante los plazos definidos para su segmentación de riesgo, para definir la aplicación de la debida diligencia correspondiente y gestionar los riesgos de LC/FT/FPADM.</w:t>
      </w:r>
    </w:p>
    <w:p w14:paraId="03C156BC" w14:textId="77777777" w:rsidR="004E307C" w:rsidRPr="003B4405" w:rsidRDefault="0065218F" w:rsidP="00DC12B2">
      <w:pPr>
        <w:pStyle w:val="Ttulo1"/>
        <w:spacing w:before="120" w:after="120"/>
        <w:jc w:val="center"/>
        <w:rPr>
          <w:rFonts w:ascii="Arial" w:hAnsi="Arial" w:cs="Arial"/>
          <w:b/>
          <w:bCs/>
          <w:color w:val="auto"/>
          <w:sz w:val="22"/>
          <w:szCs w:val="22"/>
        </w:rPr>
      </w:pPr>
      <w:bookmarkStart w:id="7" w:name="_Toc93484863"/>
      <w:r w:rsidRPr="003B4405">
        <w:rPr>
          <w:rFonts w:ascii="Arial" w:hAnsi="Arial" w:cs="Arial"/>
          <w:b/>
          <w:bCs/>
          <w:color w:val="auto"/>
          <w:sz w:val="22"/>
          <w:szCs w:val="22"/>
        </w:rPr>
        <w:t xml:space="preserve">CAPÍTULO </w:t>
      </w:r>
      <w:r w:rsidR="001B5B26" w:rsidRPr="003B4405">
        <w:rPr>
          <w:rFonts w:ascii="Arial" w:hAnsi="Arial" w:cs="Arial"/>
          <w:b/>
          <w:bCs/>
          <w:color w:val="auto"/>
          <w:sz w:val="22"/>
          <w:szCs w:val="22"/>
        </w:rPr>
        <w:t>I</w:t>
      </w:r>
      <w:r w:rsidRPr="003B4405">
        <w:rPr>
          <w:rFonts w:ascii="Arial" w:hAnsi="Arial" w:cs="Arial"/>
          <w:b/>
          <w:bCs/>
          <w:color w:val="auto"/>
          <w:sz w:val="22"/>
          <w:szCs w:val="22"/>
        </w:rPr>
        <w:t>I</w:t>
      </w:r>
      <w:bookmarkEnd w:id="7"/>
    </w:p>
    <w:p w14:paraId="2B2922CB" w14:textId="77777777" w:rsidR="00C47776" w:rsidRPr="003B4405" w:rsidRDefault="00C47776" w:rsidP="00DC12B2">
      <w:pPr>
        <w:pStyle w:val="Ttulo1"/>
        <w:spacing w:before="120" w:after="120"/>
        <w:jc w:val="center"/>
        <w:rPr>
          <w:rFonts w:ascii="Arial" w:hAnsi="Arial" w:cs="Arial"/>
          <w:b/>
          <w:bCs/>
          <w:color w:val="auto"/>
          <w:sz w:val="22"/>
          <w:szCs w:val="22"/>
        </w:rPr>
      </w:pPr>
      <w:bookmarkStart w:id="8" w:name="_Toc93484864"/>
      <w:r w:rsidRPr="003B4405">
        <w:rPr>
          <w:rFonts w:ascii="Arial" w:hAnsi="Arial" w:cs="Arial"/>
          <w:b/>
          <w:bCs/>
          <w:color w:val="auto"/>
          <w:sz w:val="22"/>
          <w:szCs w:val="22"/>
        </w:rPr>
        <w:t>ÓRGANO DE DIRECCIÓN Y ÓRGANOS DE CONTROL</w:t>
      </w:r>
      <w:bookmarkEnd w:id="8"/>
    </w:p>
    <w:p w14:paraId="64289DEF" w14:textId="77777777" w:rsidR="0065218F" w:rsidRPr="003B4405" w:rsidRDefault="0065218F" w:rsidP="00DC12B2">
      <w:pPr>
        <w:autoSpaceDE w:val="0"/>
        <w:autoSpaceDN w:val="0"/>
        <w:adjustRightInd w:val="0"/>
        <w:spacing w:before="120" w:after="120" w:line="240" w:lineRule="auto"/>
        <w:jc w:val="both"/>
        <w:rPr>
          <w:rFonts w:ascii="Arial" w:hAnsi="Arial" w:cs="Arial"/>
        </w:rPr>
      </w:pPr>
    </w:p>
    <w:p w14:paraId="053FD203" w14:textId="77777777" w:rsidR="00CC5A13" w:rsidRPr="003B4405" w:rsidRDefault="004E307C" w:rsidP="00DC12B2">
      <w:pPr>
        <w:pStyle w:val="Ttulo2"/>
        <w:spacing w:before="120" w:after="120"/>
        <w:jc w:val="both"/>
        <w:rPr>
          <w:rFonts w:ascii="Arial" w:hAnsi="Arial" w:cs="Arial"/>
          <w:b/>
          <w:bCs/>
          <w:color w:val="auto"/>
          <w:sz w:val="22"/>
          <w:szCs w:val="22"/>
        </w:rPr>
      </w:pPr>
      <w:bookmarkStart w:id="9" w:name="_Toc93484865"/>
      <w:r w:rsidRPr="003B4405">
        <w:rPr>
          <w:rFonts w:ascii="Arial" w:hAnsi="Arial" w:cs="Arial"/>
          <w:b/>
          <w:bCs/>
          <w:color w:val="auto"/>
          <w:sz w:val="22"/>
          <w:szCs w:val="22"/>
        </w:rPr>
        <w:t xml:space="preserve">Artículo </w:t>
      </w:r>
      <w:r w:rsidR="00CE32D6" w:rsidRPr="003B4405">
        <w:rPr>
          <w:rFonts w:ascii="Arial" w:hAnsi="Arial" w:cs="Arial"/>
          <w:b/>
          <w:bCs/>
          <w:color w:val="auto"/>
          <w:sz w:val="22"/>
          <w:szCs w:val="22"/>
        </w:rPr>
        <w:t>4</w:t>
      </w:r>
      <w:r w:rsidRPr="003B4405">
        <w:rPr>
          <w:rFonts w:ascii="Arial" w:hAnsi="Arial" w:cs="Arial"/>
          <w:b/>
          <w:bCs/>
          <w:color w:val="auto"/>
          <w:sz w:val="22"/>
          <w:szCs w:val="22"/>
        </w:rPr>
        <w:t xml:space="preserve">. </w:t>
      </w:r>
      <w:r w:rsidR="00CC5A13" w:rsidRPr="003B4405">
        <w:rPr>
          <w:rFonts w:ascii="Arial" w:hAnsi="Arial" w:cs="Arial"/>
          <w:b/>
          <w:bCs/>
          <w:color w:val="auto"/>
          <w:sz w:val="22"/>
          <w:szCs w:val="22"/>
        </w:rPr>
        <w:t>Órgano de Dirección</w:t>
      </w:r>
      <w:bookmarkEnd w:id="9"/>
    </w:p>
    <w:p w14:paraId="7C687E0D" w14:textId="77777777" w:rsidR="0014615F" w:rsidRDefault="00D6102F" w:rsidP="00C41B79">
      <w:pPr>
        <w:spacing w:before="120" w:after="120"/>
        <w:jc w:val="both"/>
        <w:rPr>
          <w:rFonts w:ascii="Arial" w:hAnsi="Arial" w:cs="Arial"/>
        </w:rPr>
      </w:pPr>
      <w:r w:rsidRPr="003B4405">
        <w:rPr>
          <w:rFonts w:ascii="Arial" w:hAnsi="Arial" w:cs="Arial"/>
        </w:rPr>
        <w:t xml:space="preserve">El </w:t>
      </w:r>
      <w:r w:rsidR="00CC5A13" w:rsidRPr="003B4405">
        <w:rPr>
          <w:rFonts w:ascii="Arial" w:hAnsi="Arial" w:cs="Arial"/>
        </w:rPr>
        <w:t>órgano de dirección</w:t>
      </w:r>
      <w:r w:rsidRPr="003B4405">
        <w:rPr>
          <w:rFonts w:ascii="Arial" w:hAnsi="Arial" w:cs="Arial"/>
        </w:rPr>
        <w:t xml:space="preserve"> es </w:t>
      </w:r>
      <w:r w:rsidR="00CC5A13" w:rsidRPr="003B4405">
        <w:rPr>
          <w:rFonts w:ascii="Arial" w:hAnsi="Arial" w:cs="Arial"/>
        </w:rPr>
        <w:t xml:space="preserve">el </w:t>
      </w:r>
      <w:r w:rsidRPr="003B4405">
        <w:rPr>
          <w:rFonts w:ascii="Arial" w:hAnsi="Arial" w:cs="Arial"/>
        </w:rPr>
        <w:t xml:space="preserve">responsable </w:t>
      </w:r>
      <w:r w:rsidR="00A07134" w:rsidRPr="003B4405">
        <w:rPr>
          <w:rFonts w:ascii="Arial" w:hAnsi="Arial" w:cs="Arial"/>
        </w:rPr>
        <w:t xml:space="preserve">de </w:t>
      </w:r>
      <w:r w:rsidR="00CC5A13" w:rsidRPr="003B4405">
        <w:rPr>
          <w:rFonts w:ascii="Arial" w:hAnsi="Arial" w:cs="Arial"/>
        </w:rPr>
        <w:t xml:space="preserve">aprobar </w:t>
      </w:r>
      <w:r w:rsidR="00A07134" w:rsidRPr="003B4405">
        <w:rPr>
          <w:rFonts w:ascii="Arial" w:hAnsi="Arial" w:cs="Arial"/>
        </w:rPr>
        <w:t>las políticas</w:t>
      </w:r>
      <w:r w:rsidR="004C0F2A">
        <w:rPr>
          <w:rFonts w:ascii="Arial" w:hAnsi="Arial" w:cs="Arial"/>
        </w:rPr>
        <w:t>, incluyendo la declaratoria de apetito de riesgo</w:t>
      </w:r>
      <w:r w:rsidR="00A07134" w:rsidRPr="003B4405">
        <w:rPr>
          <w:rFonts w:ascii="Arial" w:hAnsi="Arial" w:cs="Arial"/>
        </w:rPr>
        <w:t xml:space="preserve">, </w:t>
      </w:r>
      <w:r w:rsidR="0014615F" w:rsidRPr="003B4405">
        <w:rPr>
          <w:rFonts w:ascii="Arial" w:hAnsi="Arial" w:cs="Arial"/>
        </w:rPr>
        <w:t>así como</w:t>
      </w:r>
      <w:r w:rsidR="004C0F2A">
        <w:rPr>
          <w:rFonts w:ascii="Arial" w:hAnsi="Arial" w:cs="Arial"/>
        </w:rPr>
        <w:t xml:space="preserve"> de</w:t>
      </w:r>
      <w:r w:rsidR="004C0F2A" w:rsidRPr="003B4405">
        <w:rPr>
          <w:rFonts w:ascii="Arial" w:hAnsi="Arial" w:cs="Arial"/>
        </w:rPr>
        <w:t xml:space="preserve"> </w:t>
      </w:r>
      <w:r w:rsidR="0014615F" w:rsidRPr="003B4405">
        <w:rPr>
          <w:rFonts w:ascii="Arial" w:hAnsi="Arial" w:cs="Arial"/>
        </w:rPr>
        <w:t xml:space="preserve">dejar evidencia en las actas la atención, análisis, discusión de acuerdos de </w:t>
      </w:r>
      <w:r w:rsidR="00C41B79">
        <w:rPr>
          <w:rFonts w:ascii="Arial" w:hAnsi="Arial" w:cs="Arial"/>
        </w:rPr>
        <w:t xml:space="preserve">las exposiciones a </w:t>
      </w:r>
      <w:r w:rsidR="004C0F2A">
        <w:rPr>
          <w:rFonts w:ascii="Arial" w:hAnsi="Arial" w:cs="Arial"/>
        </w:rPr>
        <w:t xml:space="preserve">los </w:t>
      </w:r>
      <w:r w:rsidR="00C41B79">
        <w:rPr>
          <w:rFonts w:ascii="Arial" w:hAnsi="Arial" w:cs="Arial"/>
        </w:rPr>
        <w:t xml:space="preserve">riesgos </w:t>
      </w:r>
      <w:r w:rsidR="004C0F2A">
        <w:rPr>
          <w:rFonts w:ascii="Arial" w:hAnsi="Arial" w:cs="Arial"/>
        </w:rPr>
        <w:t>LC</w:t>
      </w:r>
      <w:r w:rsidR="00C41B79">
        <w:rPr>
          <w:rFonts w:ascii="Arial" w:hAnsi="Arial" w:cs="Arial"/>
        </w:rPr>
        <w:t xml:space="preserve">/FT/FPADM que </w:t>
      </w:r>
      <w:r w:rsidR="004C0F2A">
        <w:rPr>
          <w:rFonts w:ascii="Arial" w:hAnsi="Arial" w:cs="Arial"/>
        </w:rPr>
        <w:t>les</w:t>
      </w:r>
      <w:r w:rsidR="00C41B79">
        <w:rPr>
          <w:rFonts w:ascii="Arial" w:hAnsi="Arial" w:cs="Arial"/>
        </w:rPr>
        <w:t xml:space="preserve"> </w:t>
      </w:r>
      <w:r w:rsidR="004C0F2A">
        <w:rPr>
          <w:rFonts w:ascii="Arial" w:hAnsi="Arial" w:cs="Arial"/>
        </w:rPr>
        <w:t xml:space="preserve">representan </w:t>
      </w:r>
      <w:r w:rsidR="00C41B79">
        <w:rPr>
          <w:rFonts w:ascii="Arial" w:hAnsi="Arial" w:cs="Arial"/>
        </w:rPr>
        <w:t xml:space="preserve">las personas vinculadas a los fondos de inversión no financieros </w:t>
      </w:r>
      <w:r w:rsidR="00C41B79" w:rsidRPr="003B4405">
        <w:rPr>
          <w:rFonts w:ascii="Arial" w:hAnsi="Arial" w:cs="Arial"/>
        </w:rPr>
        <w:t xml:space="preserve">y </w:t>
      </w:r>
      <w:r w:rsidR="00397A01">
        <w:rPr>
          <w:rFonts w:ascii="Arial" w:hAnsi="Arial" w:cs="Arial"/>
        </w:rPr>
        <w:t xml:space="preserve">a los </w:t>
      </w:r>
      <w:r w:rsidR="00C41B79" w:rsidRPr="003B4405">
        <w:rPr>
          <w:rFonts w:ascii="Arial" w:hAnsi="Arial" w:cs="Arial"/>
        </w:rPr>
        <w:t>fondos de capital de riesgo</w:t>
      </w:r>
      <w:r w:rsidR="00C41B79">
        <w:rPr>
          <w:rFonts w:ascii="Arial" w:hAnsi="Arial" w:cs="Arial"/>
        </w:rPr>
        <w:t>, y que se generan por l</w:t>
      </w:r>
      <w:r w:rsidR="00397A01">
        <w:rPr>
          <w:rFonts w:ascii="Arial" w:hAnsi="Arial" w:cs="Arial"/>
        </w:rPr>
        <w:t>a</w:t>
      </w:r>
      <w:r w:rsidR="00C41B79">
        <w:rPr>
          <w:rFonts w:ascii="Arial" w:hAnsi="Arial" w:cs="Arial"/>
        </w:rPr>
        <w:t xml:space="preserve">s diversas transacciones, contratos </w:t>
      </w:r>
      <w:r w:rsidR="00397A01">
        <w:rPr>
          <w:rFonts w:ascii="Arial" w:hAnsi="Arial" w:cs="Arial"/>
        </w:rPr>
        <w:t>u</w:t>
      </w:r>
      <w:r w:rsidR="00C41B79">
        <w:rPr>
          <w:rFonts w:ascii="Arial" w:hAnsi="Arial" w:cs="Arial"/>
        </w:rPr>
        <w:t xml:space="preserve"> operaciones que se realizan en estos </w:t>
      </w:r>
      <w:r w:rsidR="00237586">
        <w:rPr>
          <w:rFonts w:ascii="Arial" w:hAnsi="Arial" w:cs="Arial"/>
        </w:rPr>
        <w:t>vehículos de inversión</w:t>
      </w:r>
      <w:r w:rsidR="00C41B79">
        <w:rPr>
          <w:rFonts w:ascii="Arial" w:hAnsi="Arial" w:cs="Arial"/>
        </w:rPr>
        <w:t>.</w:t>
      </w:r>
    </w:p>
    <w:p w14:paraId="4FB8A511" w14:textId="77777777" w:rsidR="004C0F2A" w:rsidRPr="003B4405" w:rsidRDefault="004C0F2A" w:rsidP="00C41B79">
      <w:pPr>
        <w:spacing w:before="120" w:after="120"/>
        <w:jc w:val="both"/>
        <w:rPr>
          <w:rFonts w:ascii="Arial" w:hAnsi="Arial" w:cs="Arial"/>
        </w:rPr>
      </w:pPr>
    </w:p>
    <w:p w14:paraId="79A17030" w14:textId="77777777" w:rsidR="00CC5A13" w:rsidRPr="003B4405" w:rsidRDefault="00CC5A13" w:rsidP="00DC12B2">
      <w:pPr>
        <w:pStyle w:val="Ttulo2"/>
        <w:spacing w:before="120" w:after="120"/>
        <w:jc w:val="both"/>
        <w:rPr>
          <w:rFonts w:ascii="Arial" w:hAnsi="Arial" w:cs="Arial"/>
          <w:b/>
          <w:bCs/>
          <w:color w:val="auto"/>
          <w:sz w:val="22"/>
          <w:szCs w:val="22"/>
        </w:rPr>
      </w:pPr>
      <w:bookmarkStart w:id="10" w:name="_Toc93484866"/>
      <w:r w:rsidRPr="003B4405">
        <w:rPr>
          <w:rFonts w:ascii="Arial" w:hAnsi="Arial" w:cs="Arial"/>
          <w:b/>
          <w:bCs/>
          <w:color w:val="auto"/>
          <w:sz w:val="22"/>
          <w:szCs w:val="22"/>
        </w:rPr>
        <w:t xml:space="preserve">Artículo </w:t>
      </w:r>
      <w:r w:rsidR="00CE32D6" w:rsidRPr="003B4405">
        <w:rPr>
          <w:rFonts w:ascii="Arial" w:hAnsi="Arial" w:cs="Arial"/>
          <w:b/>
          <w:bCs/>
          <w:color w:val="auto"/>
          <w:sz w:val="22"/>
          <w:szCs w:val="22"/>
        </w:rPr>
        <w:t>5</w:t>
      </w:r>
      <w:r w:rsidRPr="003B4405">
        <w:rPr>
          <w:rFonts w:ascii="Arial" w:hAnsi="Arial" w:cs="Arial"/>
          <w:b/>
          <w:bCs/>
          <w:color w:val="auto"/>
          <w:sz w:val="22"/>
          <w:szCs w:val="22"/>
        </w:rPr>
        <w:t>. Órganos de control</w:t>
      </w:r>
      <w:bookmarkEnd w:id="10"/>
    </w:p>
    <w:p w14:paraId="4159DAAC" w14:textId="77777777" w:rsidR="0014615F" w:rsidRPr="003B4405" w:rsidRDefault="00100281" w:rsidP="00DC12B2">
      <w:pPr>
        <w:spacing w:before="120" w:after="120"/>
        <w:jc w:val="both"/>
        <w:rPr>
          <w:rFonts w:ascii="Arial" w:hAnsi="Arial" w:cs="Arial"/>
        </w:rPr>
      </w:pPr>
      <w:r w:rsidRPr="001C600A">
        <w:rPr>
          <w:rFonts w:ascii="Arial" w:hAnsi="Arial" w:cs="Arial"/>
        </w:rPr>
        <w:t>Los</w:t>
      </w:r>
      <w:r w:rsidR="00F66CF1" w:rsidRPr="001C600A">
        <w:rPr>
          <w:rFonts w:ascii="Arial" w:hAnsi="Arial" w:cs="Arial"/>
        </w:rPr>
        <w:t xml:space="preserve"> órganos de control </w:t>
      </w:r>
      <w:r w:rsidR="001641B7">
        <w:rPr>
          <w:rFonts w:ascii="Arial" w:hAnsi="Arial" w:cs="Arial"/>
        </w:rPr>
        <w:t>con que cuenta</w:t>
      </w:r>
      <w:r>
        <w:rPr>
          <w:rFonts w:ascii="Arial" w:hAnsi="Arial" w:cs="Arial"/>
        </w:rPr>
        <w:t xml:space="preserve"> el sujeto obligado </w:t>
      </w:r>
      <w:r w:rsidR="00F66CF1">
        <w:rPr>
          <w:rFonts w:ascii="Arial" w:hAnsi="Arial" w:cs="Arial"/>
        </w:rPr>
        <w:t xml:space="preserve">deben </w:t>
      </w:r>
      <w:r w:rsidR="0014615F" w:rsidRPr="003B4405">
        <w:rPr>
          <w:rFonts w:ascii="Arial" w:hAnsi="Arial" w:cs="Arial"/>
        </w:rPr>
        <w:t>verificar y generar la documentación relacionada con la autoevaluación de los riesgos de LC/FT/FPADM, los planes de acción, las herramientas o metodologías implementadas y los resultados de su aplicación</w:t>
      </w:r>
      <w:r w:rsidR="00C41B79">
        <w:rPr>
          <w:rFonts w:ascii="Arial" w:hAnsi="Arial" w:cs="Arial"/>
        </w:rPr>
        <w:t xml:space="preserve"> por las exposiciones a </w:t>
      </w:r>
      <w:r w:rsidR="004C0F2A">
        <w:rPr>
          <w:rFonts w:ascii="Arial" w:hAnsi="Arial" w:cs="Arial"/>
        </w:rPr>
        <w:t xml:space="preserve">los </w:t>
      </w:r>
      <w:r w:rsidR="00C41B79">
        <w:rPr>
          <w:rFonts w:ascii="Arial" w:hAnsi="Arial" w:cs="Arial"/>
        </w:rPr>
        <w:t>riesgos</w:t>
      </w:r>
      <w:r w:rsidR="004C0F2A">
        <w:rPr>
          <w:rFonts w:ascii="Arial" w:hAnsi="Arial" w:cs="Arial"/>
        </w:rPr>
        <w:t xml:space="preserve"> LC</w:t>
      </w:r>
      <w:r w:rsidR="00C41B79">
        <w:rPr>
          <w:rFonts w:ascii="Arial" w:hAnsi="Arial" w:cs="Arial"/>
        </w:rPr>
        <w:t xml:space="preserve">/FT/FPADM que </w:t>
      </w:r>
      <w:r w:rsidR="004C0F2A">
        <w:rPr>
          <w:rFonts w:ascii="Arial" w:hAnsi="Arial" w:cs="Arial"/>
        </w:rPr>
        <w:t>les</w:t>
      </w:r>
      <w:r w:rsidR="00C41B79">
        <w:rPr>
          <w:rFonts w:ascii="Arial" w:hAnsi="Arial" w:cs="Arial"/>
        </w:rPr>
        <w:t xml:space="preserve"> generan las personas vinculadas a los fondos de inversión no financieros </w:t>
      </w:r>
      <w:r w:rsidR="00C41B79" w:rsidRPr="003B4405">
        <w:rPr>
          <w:rFonts w:ascii="Arial" w:hAnsi="Arial" w:cs="Arial"/>
        </w:rPr>
        <w:t>y fondos de capital de riesgo</w:t>
      </w:r>
      <w:r w:rsidR="004C0F2A">
        <w:rPr>
          <w:rFonts w:ascii="Arial" w:hAnsi="Arial" w:cs="Arial"/>
        </w:rPr>
        <w:t>.</w:t>
      </w:r>
    </w:p>
    <w:p w14:paraId="2F26CE6E" w14:textId="77777777" w:rsidR="00097227" w:rsidRPr="003B4405" w:rsidRDefault="00097227" w:rsidP="00DC12B2">
      <w:pPr>
        <w:spacing w:before="120" w:after="120"/>
        <w:jc w:val="both"/>
        <w:rPr>
          <w:rFonts w:ascii="Arial" w:hAnsi="Arial" w:cs="Arial"/>
        </w:rPr>
      </w:pPr>
    </w:p>
    <w:p w14:paraId="7ECA128C" w14:textId="77777777" w:rsidR="00C47776" w:rsidRPr="003B4405" w:rsidRDefault="00C47776" w:rsidP="00DC12B2">
      <w:pPr>
        <w:pStyle w:val="Ttulo1"/>
        <w:spacing w:before="120" w:after="120"/>
        <w:jc w:val="center"/>
        <w:rPr>
          <w:rFonts w:ascii="Arial" w:hAnsi="Arial" w:cs="Arial"/>
          <w:b/>
          <w:bCs/>
          <w:color w:val="auto"/>
          <w:sz w:val="22"/>
          <w:szCs w:val="22"/>
        </w:rPr>
      </w:pPr>
      <w:bookmarkStart w:id="11" w:name="_Toc93484867"/>
      <w:r w:rsidRPr="003B4405">
        <w:rPr>
          <w:rFonts w:ascii="Arial" w:hAnsi="Arial" w:cs="Arial"/>
          <w:b/>
          <w:bCs/>
          <w:color w:val="auto"/>
          <w:sz w:val="22"/>
          <w:szCs w:val="22"/>
        </w:rPr>
        <w:lastRenderedPageBreak/>
        <w:t>CAPÍTULO III</w:t>
      </w:r>
      <w:bookmarkEnd w:id="11"/>
    </w:p>
    <w:p w14:paraId="293674BB" w14:textId="77777777" w:rsidR="00C47776" w:rsidRPr="003B4405" w:rsidRDefault="00C47776" w:rsidP="00DC12B2">
      <w:pPr>
        <w:pStyle w:val="Ttulo1"/>
        <w:spacing w:before="120" w:after="120"/>
        <w:jc w:val="center"/>
        <w:rPr>
          <w:rFonts w:ascii="Arial" w:hAnsi="Arial" w:cs="Arial"/>
          <w:b/>
          <w:bCs/>
          <w:color w:val="auto"/>
          <w:sz w:val="22"/>
          <w:szCs w:val="22"/>
        </w:rPr>
      </w:pPr>
      <w:bookmarkStart w:id="12" w:name="_Toc93484868"/>
      <w:r w:rsidRPr="003B4405">
        <w:rPr>
          <w:rFonts w:ascii="Arial" w:hAnsi="Arial" w:cs="Arial"/>
          <w:b/>
          <w:bCs/>
          <w:color w:val="auto"/>
          <w:sz w:val="22"/>
          <w:szCs w:val="22"/>
        </w:rPr>
        <w:t>GESTIÓN DE RIESGOS</w:t>
      </w:r>
      <w:bookmarkEnd w:id="12"/>
    </w:p>
    <w:p w14:paraId="2928E4C1" w14:textId="77777777" w:rsidR="00C47776" w:rsidRPr="003B4405" w:rsidRDefault="00C47776" w:rsidP="00DC12B2">
      <w:pPr>
        <w:spacing w:before="120" w:after="120"/>
        <w:jc w:val="both"/>
        <w:rPr>
          <w:rFonts w:ascii="Arial" w:hAnsi="Arial" w:cs="Arial"/>
        </w:rPr>
      </w:pPr>
    </w:p>
    <w:p w14:paraId="20DC8A25" w14:textId="77777777" w:rsidR="003C0675" w:rsidRPr="003B4405" w:rsidRDefault="003C0675" w:rsidP="00DC12B2">
      <w:pPr>
        <w:pStyle w:val="Ttulo2"/>
        <w:spacing w:before="120" w:after="120"/>
        <w:rPr>
          <w:rFonts w:ascii="Arial" w:hAnsi="Arial" w:cs="Arial"/>
          <w:b/>
          <w:bCs/>
          <w:color w:val="auto"/>
          <w:sz w:val="22"/>
          <w:szCs w:val="22"/>
        </w:rPr>
      </w:pPr>
      <w:bookmarkStart w:id="13" w:name="_Toc93484869"/>
      <w:r w:rsidRPr="003B4405">
        <w:rPr>
          <w:rFonts w:ascii="Arial" w:hAnsi="Arial" w:cs="Arial"/>
          <w:b/>
          <w:bCs/>
          <w:color w:val="auto"/>
          <w:sz w:val="22"/>
          <w:szCs w:val="22"/>
        </w:rPr>
        <w:t xml:space="preserve">Artículo </w:t>
      </w:r>
      <w:r w:rsidR="00CE32D6" w:rsidRPr="003B4405">
        <w:rPr>
          <w:rFonts w:ascii="Arial" w:hAnsi="Arial" w:cs="Arial"/>
          <w:b/>
          <w:bCs/>
          <w:color w:val="auto"/>
          <w:sz w:val="22"/>
          <w:szCs w:val="22"/>
        </w:rPr>
        <w:t>6</w:t>
      </w:r>
      <w:r w:rsidRPr="003B4405">
        <w:rPr>
          <w:rFonts w:ascii="Arial" w:hAnsi="Arial" w:cs="Arial"/>
          <w:b/>
          <w:bCs/>
          <w:color w:val="auto"/>
          <w:sz w:val="22"/>
          <w:szCs w:val="22"/>
        </w:rPr>
        <w:t>. Evaluación de riesgo de LC/FT/FPADM de</w:t>
      </w:r>
      <w:r w:rsidR="008E7981" w:rsidRPr="003B4405">
        <w:rPr>
          <w:rFonts w:ascii="Arial" w:hAnsi="Arial" w:cs="Arial"/>
          <w:b/>
          <w:bCs/>
          <w:color w:val="auto"/>
          <w:sz w:val="22"/>
          <w:szCs w:val="22"/>
        </w:rPr>
        <w:t xml:space="preserve"> </w:t>
      </w:r>
      <w:r w:rsidRPr="003B4405">
        <w:rPr>
          <w:rFonts w:ascii="Arial" w:hAnsi="Arial" w:cs="Arial"/>
          <w:b/>
          <w:bCs/>
          <w:color w:val="auto"/>
          <w:sz w:val="22"/>
          <w:szCs w:val="22"/>
        </w:rPr>
        <w:t>l</w:t>
      </w:r>
      <w:r w:rsidR="008E7981" w:rsidRPr="003B4405">
        <w:rPr>
          <w:rFonts w:ascii="Arial" w:hAnsi="Arial" w:cs="Arial"/>
          <w:b/>
          <w:bCs/>
          <w:color w:val="auto"/>
          <w:sz w:val="22"/>
          <w:szCs w:val="22"/>
        </w:rPr>
        <w:t>a</w:t>
      </w:r>
      <w:r w:rsidR="000468A2" w:rsidRPr="003B4405">
        <w:rPr>
          <w:rFonts w:ascii="Arial" w:hAnsi="Arial" w:cs="Arial"/>
          <w:b/>
          <w:bCs/>
          <w:color w:val="auto"/>
          <w:sz w:val="22"/>
          <w:szCs w:val="22"/>
        </w:rPr>
        <w:t>s</w:t>
      </w:r>
      <w:r w:rsidRPr="003B4405">
        <w:rPr>
          <w:rFonts w:ascii="Arial" w:hAnsi="Arial" w:cs="Arial"/>
          <w:b/>
          <w:bCs/>
          <w:color w:val="auto"/>
          <w:sz w:val="22"/>
          <w:szCs w:val="22"/>
        </w:rPr>
        <w:t xml:space="preserve"> PVF</w:t>
      </w:r>
      <w:r w:rsidR="00B73E28" w:rsidRPr="003B4405">
        <w:rPr>
          <w:rFonts w:ascii="Arial" w:hAnsi="Arial" w:cs="Arial"/>
          <w:b/>
          <w:bCs/>
          <w:color w:val="auto"/>
          <w:sz w:val="22"/>
          <w:szCs w:val="22"/>
        </w:rPr>
        <w:t>I</w:t>
      </w:r>
      <w:bookmarkEnd w:id="13"/>
    </w:p>
    <w:p w14:paraId="47AC729A" w14:textId="77777777" w:rsidR="00CA1342" w:rsidRPr="003B4405" w:rsidRDefault="00152014" w:rsidP="00DC12B2">
      <w:pPr>
        <w:spacing w:before="120" w:after="120"/>
        <w:jc w:val="both"/>
        <w:rPr>
          <w:rFonts w:ascii="Arial" w:hAnsi="Arial" w:cs="Arial"/>
        </w:rPr>
      </w:pPr>
      <w:r w:rsidRPr="003B4405">
        <w:rPr>
          <w:rFonts w:ascii="Arial" w:hAnsi="Arial" w:cs="Arial"/>
        </w:rPr>
        <w:t xml:space="preserve">El sujeto obligado debe </w:t>
      </w:r>
      <w:r w:rsidR="000F7691" w:rsidRPr="003B4405">
        <w:rPr>
          <w:rFonts w:ascii="Arial" w:hAnsi="Arial" w:cs="Arial"/>
        </w:rPr>
        <w:t xml:space="preserve">identificar </w:t>
      </w:r>
      <w:r w:rsidR="00397A01" w:rsidRPr="003B4405">
        <w:rPr>
          <w:rFonts w:ascii="Arial" w:hAnsi="Arial" w:cs="Arial"/>
        </w:rPr>
        <w:t xml:space="preserve">en forma integral </w:t>
      </w:r>
      <w:r w:rsidR="000F7691" w:rsidRPr="003B4405">
        <w:rPr>
          <w:rFonts w:ascii="Arial" w:hAnsi="Arial" w:cs="Arial"/>
        </w:rPr>
        <w:t xml:space="preserve">los riesgos </w:t>
      </w:r>
      <w:r w:rsidR="00A86470" w:rsidRPr="003B4405">
        <w:rPr>
          <w:rFonts w:ascii="Arial" w:hAnsi="Arial" w:cs="Arial"/>
        </w:rPr>
        <w:t xml:space="preserve">para personas vinculadas a fondos de inversión </w:t>
      </w:r>
      <w:r w:rsidR="00C41B79">
        <w:rPr>
          <w:rFonts w:ascii="Arial" w:hAnsi="Arial" w:cs="Arial"/>
        </w:rPr>
        <w:t xml:space="preserve">no financieros </w:t>
      </w:r>
      <w:r w:rsidR="00A86470" w:rsidRPr="003B4405">
        <w:rPr>
          <w:rFonts w:ascii="Arial" w:hAnsi="Arial" w:cs="Arial"/>
        </w:rPr>
        <w:t xml:space="preserve">y </w:t>
      </w:r>
      <w:r w:rsidR="00397A01">
        <w:rPr>
          <w:rFonts w:ascii="Arial" w:hAnsi="Arial" w:cs="Arial"/>
        </w:rPr>
        <w:t xml:space="preserve">a </w:t>
      </w:r>
      <w:r w:rsidR="00A86470" w:rsidRPr="003B4405">
        <w:rPr>
          <w:rFonts w:ascii="Arial" w:hAnsi="Arial" w:cs="Arial"/>
        </w:rPr>
        <w:t xml:space="preserve">fondos de capital de riesgo </w:t>
      </w:r>
      <w:r w:rsidR="000F7691" w:rsidRPr="003B4405">
        <w:rPr>
          <w:rFonts w:ascii="Arial" w:hAnsi="Arial" w:cs="Arial"/>
        </w:rPr>
        <w:t xml:space="preserve">a los que se encuentra expuesto y enumerar los eventos de riesgo, consecuencias y causas en cada una de las etapas del proceso, utilizando tipologías, señales de alerta, entre otros; así como </w:t>
      </w:r>
      <w:r w:rsidRPr="003B4405">
        <w:rPr>
          <w:rFonts w:ascii="Arial" w:hAnsi="Arial" w:cs="Arial"/>
        </w:rPr>
        <w:t>diseñar, desarrollar, ejecutar y documentar un proceso de autoevaluación de la gestión de riesgos de LC/FT/FPADM</w:t>
      </w:r>
      <w:r w:rsidR="00A86470" w:rsidRPr="003B4405">
        <w:rPr>
          <w:rFonts w:ascii="Arial" w:hAnsi="Arial" w:cs="Arial"/>
        </w:rPr>
        <w:t>.</w:t>
      </w:r>
    </w:p>
    <w:p w14:paraId="3DB54A86" w14:textId="77777777" w:rsidR="00CA1342" w:rsidRPr="003B4405" w:rsidRDefault="00CA1342" w:rsidP="00DC12B2">
      <w:pPr>
        <w:autoSpaceDE w:val="0"/>
        <w:autoSpaceDN w:val="0"/>
        <w:adjustRightInd w:val="0"/>
        <w:spacing w:before="120" w:after="120" w:line="240" w:lineRule="auto"/>
        <w:jc w:val="both"/>
        <w:rPr>
          <w:rFonts w:ascii="Arial" w:hAnsi="Arial" w:cs="Arial"/>
        </w:rPr>
      </w:pPr>
    </w:p>
    <w:p w14:paraId="6EF8C294" w14:textId="77777777" w:rsidR="00CA1342" w:rsidRPr="003B4405" w:rsidRDefault="003C0675" w:rsidP="00DC12B2">
      <w:pPr>
        <w:pStyle w:val="Ttulo2"/>
        <w:spacing w:before="120" w:after="120"/>
        <w:rPr>
          <w:rFonts w:ascii="Arial" w:hAnsi="Arial" w:cs="Arial"/>
          <w:b/>
          <w:bCs/>
          <w:color w:val="auto"/>
          <w:sz w:val="22"/>
          <w:szCs w:val="22"/>
        </w:rPr>
      </w:pPr>
      <w:bookmarkStart w:id="14" w:name="_Toc93484870"/>
      <w:r w:rsidRPr="003B4405">
        <w:rPr>
          <w:rFonts w:ascii="Arial" w:hAnsi="Arial" w:cs="Arial"/>
          <w:b/>
          <w:bCs/>
          <w:color w:val="auto"/>
          <w:sz w:val="22"/>
          <w:szCs w:val="22"/>
        </w:rPr>
        <w:t xml:space="preserve">Artículo </w:t>
      </w:r>
      <w:r w:rsidR="00CE32D6" w:rsidRPr="003B4405">
        <w:rPr>
          <w:rFonts w:ascii="Arial" w:hAnsi="Arial" w:cs="Arial"/>
          <w:b/>
          <w:bCs/>
          <w:color w:val="auto"/>
          <w:sz w:val="22"/>
          <w:szCs w:val="22"/>
        </w:rPr>
        <w:t>7</w:t>
      </w:r>
      <w:r w:rsidRPr="003B4405">
        <w:rPr>
          <w:rFonts w:ascii="Arial" w:hAnsi="Arial" w:cs="Arial"/>
          <w:b/>
          <w:bCs/>
          <w:color w:val="auto"/>
          <w:sz w:val="22"/>
          <w:szCs w:val="22"/>
        </w:rPr>
        <w:t>.</w:t>
      </w:r>
      <w:r w:rsidR="00F05EB2" w:rsidRPr="003B4405">
        <w:rPr>
          <w:rFonts w:ascii="Arial" w:hAnsi="Arial" w:cs="Arial"/>
          <w:b/>
          <w:bCs/>
          <w:color w:val="auto"/>
          <w:sz w:val="22"/>
          <w:szCs w:val="22"/>
        </w:rPr>
        <w:t xml:space="preserve"> Riesgo </w:t>
      </w:r>
      <w:r w:rsidR="000468A2" w:rsidRPr="003B4405">
        <w:rPr>
          <w:rFonts w:ascii="Arial" w:hAnsi="Arial" w:cs="Arial"/>
          <w:b/>
          <w:bCs/>
          <w:color w:val="auto"/>
          <w:sz w:val="22"/>
          <w:szCs w:val="22"/>
        </w:rPr>
        <w:t xml:space="preserve">de LC/FT/FPADM </w:t>
      </w:r>
      <w:r w:rsidR="00F05EB2" w:rsidRPr="003B4405">
        <w:rPr>
          <w:rFonts w:ascii="Arial" w:hAnsi="Arial" w:cs="Arial"/>
          <w:b/>
          <w:bCs/>
          <w:color w:val="auto"/>
          <w:sz w:val="22"/>
          <w:szCs w:val="22"/>
        </w:rPr>
        <w:t>de la</w:t>
      </w:r>
      <w:r w:rsidR="008A7AE6" w:rsidRPr="003B4405">
        <w:rPr>
          <w:rFonts w:ascii="Arial" w:hAnsi="Arial" w:cs="Arial"/>
          <w:b/>
          <w:bCs/>
          <w:color w:val="auto"/>
          <w:sz w:val="22"/>
          <w:szCs w:val="22"/>
        </w:rPr>
        <w:t>s</w:t>
      </w:r>
      <w:r w:rsidR="003725D7" w:rsidRPr="003B4405">
        <w:rPr>
          <w:rFonts w:ascii="Arial" w:hAnsi="Arial" w:cs="Arial"/>
          <w:b/>
          <w:bCs/>
          <w:color w:val="auto"/>
          <w:sz w:val="22"/>
          <w:szCs w:val="22"/>
        </w:rPr>
        <w:t xml:space="preserve"> PVFI</w:t>
      </w:r>
      <w:bookmarkEnd w:id="14"/>
    </w:p>
    <w:p w14:paraId="584DA80B" w14:textId="77777777" w:rsidR="00A86470" w:rsidRPr="003B4405" w:rsidRDefault="00CA1342" w:rsidP="00A25E85">
      <w:pPr>
        <w:jc w:val="both"/>
        <w:rPr>
          <w:rFonts w:ascii="Arial" w:hAnsi="Arial" w:cs="Arial"/>
        </w:rPr>
      </w:pPr>
      <w:r w:rsidRPr="003B4405">
        <w:rPr>
          <w:rFonts w:ascii="Arial" w:hAnsi="Arial" w:cs="Arial"/>
        </w:rPr>
        <w:t>El sujeto obligad</w:t>
      </w:r>
      <w:r w:rsidR="009D026A" w:rsidRPr="003B4405">
        <w:rPr>
          <w:rFonts w:ascii="Arial" w:hAnsi="Arial" w:cs="Arial"/>
        </w:rPr>
        <w:t>o</w:t>
      </w:r>
      <w:r w:rsidRPr="003B4405">
        <w:rPr>
          <w:rFonts w:ascii="Arial" w:hAnsi="Arial" w:cs="Arial"/>
        </w:rPr>
        <w:t xml:space="preserve"> debe </w:t>
      </w:r>
      <w:r w:rsidR="00A25E85" w:rsidRPr="003B4405">
        <w:rPr>
          <w:rFonts w:ascii="Arial" w:hAnsi="Arial" w:cs="Arial"/>
        </w:rPr>
        <w:t xml:space="preserve">identificar, evaluar y entender los riesgos inherentes de LC/FT/FPADM </w:t>
      </w:r>
      <w:r w:rsidR="001641B7">
        <w:rPr>
          <w:rFonts w:ascii="Arial" w:hAnsi="Arial" w:cs="Arial"/>
        </w:rPr>
        <w:t>que generan</w:t>
      </w:r>
      <w:r w:rsidR="00A25E85" w:rsidRPr="003B4405">
        <w:rPr>
          <w:rFonts w:ascii="Arial" w:hAnsi="Arial" w:cs="Arial"/>
        </w:rPr>
        <w:t xml:space="preserve"> las PVFI</w:t>
      </w:r>
      <w:r w:rsidR="001641B7">
        <w:rPr>
          <w:rFonts w:ascii="Arial" w:hAnsi="Arial" w:cs="Arial"/>
        </w:rPr>
        <w:t>,</w:t>
      </w:r>
      <w:r w:rsidR="00A25E85" w:rsidRPr="003B4405">
        <w:rPr>
          <w:rFonts w:ascii="Arial" w:hAnsi="Arial" w:cs="Arial"/>
        </w:rPr>
        <w:t xml:space="preserve"> </w:t>
      </w:r>
      <w:r w:rsidR="00F05EB2" w:rsidRPr="003B4405">
        <w:rPr>
          <w:rFonts w:ascii="Arial" w:hAnsi="Arial" w:cs="Arial"/>
        </w:rPr>
        <w:t xml:space="preserve">que contenga </w:t>
      </w:r>
      <w:r w:rsidR="00A25E85" w:rsidRPr="003B4405">
        <w:rPr>
          <w:rFonts w:ascii="Arial" w:hAnsi="Arial" w:cs="Arial"/>
        </w:rPr>
        <w:t>al menos:</w:t>
      </w:r>
    </w:p>
    <w:p w14:paraId="363486A3" w14:textId="77777777" w:rsidR="00A86470" w:rsidRPr="003B4405" w:rsidRDefault="00F05EB2" w:rsidP="00A86470">
      <w:pPr>
        <w:pStyle w:val="Prrafodelista"/>
        <w:numPr>
          <w:ilvl w:val="0"/>
          <w:numId w:val="22"/>
        </w:numPr>
        <w:jc w:val="both"/>
        <w:rPr>
          <w:rFonts w:ascii="Arial" w:hAnsi="Arial" w:cs="Arial"/>
        </w:rPr>
      </w:pPr>
      <w:r w:rsidRPr="003B4405">
        <w:rPr>
          <w:rFonts w:ascii="Arial" w:hAnsi="Arial" w:cs="Arial"/>
        </w:rPr>
        <w:t xml:space="preserve">segmentación por contrapartes </w:t>
      </w:r>
      <w:r w:rsidR="00A25E85" w:rsidRPr="003B4405">
        <w:rPr>
          <w:rFonts w:ascii="Arial" w:hAnsi="Arial" w:cs="Arial"/>
        </w:rPr>
        <w:t>(</w:t>
      </w:r>
      <w:r w:rsidR="00687113">
        <w:rPr>
          <w:rFonts w:ascii="Arial" w:hAnsi="Arial" w:cs="Arial"/>
        </w:rPr>
        <w:t xml:space="preserve">empresas promovidas, </w:t>
      </w:r>
      <w:r w:rsidR="00A25E85" w:rsidRPr="003B4405">
        <w:rPr>
          <w:rFonts w:ascii="Arial" w:hAnsi="Arial" w:cs="Arial"/>
        </w:rPr>
        <w:t>inquilinos, vendedores, compradores, propietarios registrales de los bienes</w:t>
      </w:r>
      <w:r w:rsidR="00A86470" w:rsidRPr="003B4405">
        <w:rPr>
          <w:rFonts w:ascii="Arial" w:hAnsi="Arial" w:cs="Arial"/>
        </w:rPr>
        <w:t>, entre otros</w:t>
      </w:r>
      <w:r w:rsidR="00A25E85" w:rsidRPr="003B4405">
        <w:rPr>
          <w:rFonts w:ascii="Arial" w:hAnsi="Arial" w:cs="Arial"/>
        </w:rPr>
        <w:t>);</w:t>
      </w:r>
      <w:r w:rsidRPr="003B4405">
        <w:rPr>
          <w:rFonts w:ascii="Arial" w:hAnsi="Arial" w:cs="Arial"/>
        </w:rPr>
        <w:t xml:space="preserve"> </w:t>
      </w:r>
    </w:p>
    <w:p w14:paraId="181DF07C" w14:textId="77777777" w:rsidR="00A86470" w:rsidRPr="003B4405" w:rsidRDefault="00A25E85" w:rsidP="00A86470">
      <w:pPr>
        <w:pStyle w:val="Prrafodelista"/>
        <w:numPr>
          <w:ilvl w:val="0"/>
          <w:numId w:val="22"/>
        </w:numPr>
        <w:jc w:val="both"/>
        <w:rPr>
          <w:rFonts w:ascii="Arial" w:hAnsi="Arial" w:cs="Arial"/>
        </w:rPr>
      </w:pPr>
      <w:r w:rsidRPr="003B4405">
        <w:rPr>
          <w:rFonts w:ascii="Arial" w:hAnsi="Arial" w:cs="Arial"/>
        </w:rPr>
        <w:t xml:space="preserve">transacciones; </w:t>
      </w:r>
    </w:p>
    <w:p w14:paraId="4F9F93A5" w14:textId="77777777" w:rsidR="00A86470" w:rsidRPr="003B4405" w:rsidRDefault="00F05EB2" w:rsidP="00A86470">
      <w:pPr>
        <w:pStyle w:val="Prrafodelista"/>
        <w:numPr>
          <w:ilvl w:val="0"/>
          <w:numId w:val="22"/>
        </w:numPr>
        <w:jc w:val="both"/>
        <w:rPr>
          <w:rFonts w:ascii="Arial" w:hAnsi="Arial" w:cs="Arial"/>
        </w:rPr>
      </w:pPr>
      <w:r w:rsidRPr="003B4405">
        <w:rPr>
          <w:rFonts w:ascii="Arial" w:hAnsi="Arial" w:cs="Arial"/>
        </w:rPr>
        <w:t>zonas geográficas</w:t>
      </w:r>
      <w:r w:rsidR="00A25E85" w:rsidRPr="003B4405">
        <w:rPr>
          <w:rFonts w:ascii="Arial" w:hAnsi="Arial" w:cs="Arial"/>
        </w:rPr>
        <w:t xml:space="preserve">; </w:t>
      </w:r>
    </w:p>
    <w:p w14:paraId="37F00F89" w14:textId="77777777" w:rsidR="00A86470" w:rsidRPr="003B4405" w:rsidRDefault="00F05EB2" w:rsidP="00A86470">
      <w:pPr>
        <w:pStyle w:val="Prrafodelista"/>
        <w:numPr>
          <w:ilvl w:val="0"/>
          <w:numId w:val="22"/>
        </w:numPr>
        <w:jc w:val="both"/>
        <w:rPr>
          <w:rFonts w:ascii="Arial" w:hAnsi="Arial" w:cs="Arial"/>
        </w:rPr>
      </w:pPr>
      <w:r w:rsidRPr="003B4405">
        <w:rPr>
          <w:rFonts w:ascii="Arial" w:hAnsi="Arial" w:cs="Arial"/>
        </w:rPr>
        <w:t xml:space="preserve">canales de ejecución </w:t>
      </w:r>
      <w:r w:rsidR="00A25E85" w:rsidRPr="003B4405">
        <w:rPr>
          <w:rFonts w:ascii="Arial" w:hAnsi="Arial" w:cs="Arial"/>
        </w:rPr>
        <w:t>(</w:t>
      </w:r>
      <w:r w:rsidR="00687113">
        <w:rPr>
          <w:rFonts w:ascii="Arial" w:hAnsi="Arial" w:cs="Arial"/>
        </w:rPr>
        <w:t xml:space="preserve">gestores especializados, </w:t>
      </w:r>
      <w:r w:rsidRPr="003B4405">
        <w:rPr>
          <w:rFonts w:ascii="Arial" w:hAnsi="Arial" w:cs="Arial"/>
        </w:rPr>
        <w:t xml:space="preserve">corredores, agentes </w:t>
      </w:r>
      <w:r w:rsidR="00A74FCE">
        <w:rPr>
          <w:rFonts w:ascii="Arial" w:hAnsi="Arial" w:cs="Arial"/>
        </w:rPr>
        <w:t>de bienes raíces o intermediarios</w:t>
      </w:r>
      <w:r w:rsidRPr="003B4405">
        <w:rPr>
          <w:rFonts w:ascii="Arial" w:hAnsi="Arial" w:cs="Arial"/>
        </w:rPr>
        <w:t xml:space="preserve"> por comisión, peritos valuadores, asesores, </w:t>
      </w:r>
      <w:r w:rsidR="00A86470" w:rsidRPr="003B4405">
        <w:rPr>
          <w:rFonts w:ascii="Arial" w:hAnsi="Arial" w:cs="Arial"/>
        </w:rPr>
        <w:t>entre otros</w:t>
      </w:r>
      <w:r w:rsidR="00A25E85" w:rsidRPr="003B4405">
        <w:rPr>
          <w:rFonts w:ascii="Arial" w:hAnsi="Arial" w:cs="Arial"/>
        </w:rPr>
        <w:t>)</w:t>
      </w:r>
      <w:r w:rsidRPr="003B4405">
        <w:rPr>
          <w:rFonts w:ascii="Arial" w:hAnsi="Arial" w:cs="Arial"/>
        </w:rPr>
        <w:t xml:space="preserve">; </w:t>
      </w:r>
    </w:p>
    <w:p w14:paraId="0F90D882" w14:textId="77777777" w:rsidR="00A86470" w:rsidRPr="003B4405" w:rsidRDefault="00F05EB2" w:rsidP="00A86470">
      <w:pPr>
        <w:pStyle w:val="Prrafodelista"/>
        <w:numPr>
          <w:ilvl w:val="0"/>
          <w:numId w:val="22"/>
        </w:numPr>
        <w:jc w:val="both"/>
        <w:rPr>
          <w:rFonts w:ascii="Arial" w:hAnsi="Arial" w:cs="Arial"/>
        </w:rPr>
      </w:pPr>
      <w:r w:rsidRPr="003B4405">
        <w:rPr>
          <w:rFonts w:ascii="Arial" w:hAnsi="Arial" w:cs="Arial"/>
        </w:rPr>
        <w:t xml:space="preserve">canales de apoyo </w:t>
      </w:r>
      <w:r w:rsidR="00A25E85" w:rsidRPr="003B4405">
        <w:rPr>
          <w:rFonts w:ascii="Arial" w:hAnsi="Arial" w:cs="Arial"/>
        </w:rPr>
        <w:t>(</w:t>
      </w:r>
      <w:r w:rsidRPr="003B4405">
        <w:rPr>
          <w:rFonts w:ascii="Arial" w:hAnsi="Arial" w:cs="Arial"/>
        </w:rPr>
        <w:t xml:space="preserve">servicios tercerizados, de </w:t>
      </w:r>
      <w:r w:rsidR="00A74FCE">
        <w:rPr>
          <w:rFonts w:ascii="Arial" w:hAnsi="Arial" w:cs="Arial"/>
        </w:rPr>
        <w:t>mantenimiento</w:t>
      </w:r>
      <w:r w:rsidRPr="003B4405">
        <w:rPr>
          <w:rFonts w:ascii="Arial" w:hAnsi="Arial" w:cs="Arial"/>
        </w:rPr>
        <w:t>, administración, portales especializados</w:t>
      </w:r>
      <w:r w:rsidR="00A86470" w:rsidRPr="003B4405">
        <w:rPr>
          <w:rFonts w:ascii="Arial" w:hAnsi="Arial" w:cs="Arial"/>
        </w:rPr>
        <w:t>, entre otros</w:t>
      </w:r>
      <w:r w:rsidR="00A25E85" w:rsidRPr="003B4405">
        <w:rPr>
          <w:rFonts w:ascii="Arial" w:hAnsi="Arial" w:cs="Arial"/>
        </w:rPr>
        <w:t>)</w:t>
      </w:r>
      <w:r w:rsidRPr="003B4405">
        <w:rPr>
          <w:rFonts w:ascii="Arial" w:hAnsi="Arial" w:cs="Arial"/>
        </w:rPr>
        <w:t>;</w:t>
      </w:r>
    </w:p>
    <w:p w14:paraId="42CEAF9E" w14:textId="77777777" w:rsidR="00A86470" w:rsidRPr="004609C2" w:rsidRDefault="00F05EB2" w:rsidP="00A86470">
      <w:pPr>
        <w:pStyle w:val="Prrafodelista"/>
        <w:numPr>
          <w:ilvl w:val="0"/>
          <w:numId w:val="22"/>
        </w:numPr>
        <w:jc w:val="both"/>
        <w:rPr>
          <w:rFonts w:ascii="Arial" w:hAnsi="Arial" w:cs="Arial"/>
        </w:rPr>
      </w:pPr>
      <w:r w:rsidRPr="004609C2">
        <w:rPr>
          <w:rFonts w:ascii="Arial" w:hAnsi="Arial" w:cs="Arial"/>
        </w:rPr>
        <w:t>canales de pago</w:t>
      </w:r>
      <w:r w:rsidR="00A74FCE" w:rsidRPr="004609C2">
        <w:rPr>
          <w:rFonts w:ascii="Arial" w:hAnsi="Arial" w:cs="Arial"/>
        </w:rPr>
        <w:t xml:space="preserve"> (</w:t>
      </w:r>
      <w:r w:rsidR="004609C2" w:rsidRPr="004609C2">
        <w:rPr>
          <w:rFonts w:ascii="Arial" w:hAnsi="Arial" w:cs="Arial"/>
        </w:rPr>
        <w:t>depósitos, cheques, efectivo</w:t>
      </w:r>
      <w:r w:rsidR="004609C2">
        <w:rPr>
          <w:rFonts w:ascii="Arial" w:hAnsi="Arial" w:cs="Arial"/>
        </w:rPr>
        <w:t>, transferencias locales o internacionales</w:t>
      </w:r>
      <w:r w:rsidR="00397A01">
        <w:rPr>
          <w:rFonts w:ascii="Arial" w:hAnsi="Arial" w:cs="Arial"/>
        </w:rPr>
        <w:t>, entre otros</w:t>
      </w:r>
      <w:r w:rsidR="00A74FCE" w:rsidRPr="004609C2">
        <w:rPr>
          <w:rFonts w:ascii="Arial" w:hAnsi="Arial" w:cs="Arial"/>
        </w:rPr>
        <w:t>)</w:t>
      </w:r>
      <w:r w:rsidR="00A25E85" w:rsidRPr="004609C2">
        <w:rPr>
          <w:rFonts w:ascii="Arial" w:hAnsi="Arial" w:cs="Arial"/>
        </w:rPr>
        <w:t>;</w:t>
      </w:r>
    </w:p>
    <w:p w14:paraId="0E3429AD" w14:textId="77777777" w:rsidR="00A86470" w:rsidRPr="003B4405" w:rsidRDefault="00F05EB2" w:rsidP="00A86470">
      <w:pPr>
        <w:pStyle w:val="Prrafodelista"/>
        <w:numPr>
          <w:ilvl w:val="0"/>
          <w:numId w:val="22"/>
        </w:numPr>
        <w:jc w:val="both"/>
        <w:rPr>
          <w:rFonts w:ascii="Arial" w:hAnsi="Arial" w:cs="Arial"/>
        </w:rPr>
      </w:pPr>
      <w:r w:rsidRPr="003B4405">
        <w:rPr>
          <w:rFonts w:ascii="Arial" w:hAnsi="Arial" w:cs="Arial"/>
        </w:rPr>
        <w:t>uso de nuevas tecnologías</w:t>
      </w:r>
      <w:r w:rsidR="000B7F27" w:rsidRPr="003B4405">
        <w:rPr>
          <w:rFonts w:ascii="Arial" w:hAnsi="Arial" w:cs="Arial"/>
        </w:rPr>
        <w:t>;</w:t>
      </w:r>
    </w:p>
    <w:p w14:paraId="022F8D32" w14:textId="77777777" w:rsidR="00F05EB2" w:rsidRPr="003B4405" w:rsidRDefault="004609C2" w:rsidP="00A86470">
      <w:pPr>
        <w:pStyle w:val="Prrafodelista"/>
        <w:numPr>
          <w:ilvl w:val="0"/>
          <w:numId w:val="22"/>
        </w:numPr>
        <w:jc w:val="both"/>
        <w:rPr>
          <w:rFonts w:ascii="Arial" w:hAnsi="Arial" w:cs="Arial"/>
        </w:rPr>
      </w:pPr>
      <w:r>
        <w:rPr>
          <w:rFonts w:ascii="Arial" w:hAnsi="Arial" w:cs="Arial"/>
        </w:rPr>
        <w:t>n</w:t>
      </w:r>
      <w:r w:rsidR="00A86470" w:rsidRPr="003B4405">
        <w:rPr>
          <w:rFonts w:ascii="Arial" w:hAnsi="Arial" w:cs="Arial"/>
        </w:rPr>
        <w:t xml:space="preserve">uevas </w:t>
      </w:r>
      <w:r w:rsidR="00F05EB2" w:rsidRPr="003B4405">
        <w:rPr>
          <w:rFonts w:ascii="Arial" w:hAnsi="Arial" w:cs="Arial"/>
        </w:rPr>
        <w:t>prácticas comerciales.</w:t>
      </w:r>
    </w:p>
    <w:p w14:paraId="7548653E" w14:textId="77777777" w:rsidR="00A25E85" w:rsidRPr="003B4405" w:rsidRDefault="00EB0228" w:rsidP="00A25E85">
      <w:pPr>
        <w:autoSpaceDE w:val="0"/>
        <w:autoSpaceDN w:val="0"/>
        <w:adjustRightInd w:val="0"/>
        <w:spacing w:before="120" w:after="120" w:line="240" w:lineRule="auto"/>
        <w:jc w:val="both"/>
        <w:rPr>
          <w:rFonts w:ascii="Arial" w:hAnsi="Arial" w:cs="Arial"/>
        </w:rPr>
      </w:pPr>
      <w:r w:rsidRPr="003B4405">
        <w:rPr>
          <w:rFonts w:ascii="Arial" w:hAnsi="Arial" w:cs="Arial"/>
        </w:rPr>
        <w:t xml:space="preserve">Adicionalmente, </w:t>
      </w:r>
      <w:r w:rsidR="009671E5">
        <w:rPr>
          <w:rFonts w:ascii="Arial" w:hAnsi="Arial" w:cs="Arial"/>
        </w:rPr>
        <w:t>la unidad o función de riesgos</w:t>
      </w:r>
      <w:r w:rsidR="008A7AE6" w:rsidRPr="003B4405">
        <w:rPr>
          <w:rFonts w:ascii="Arial" w:hAnsi="Arial" w:cs="Arial"/>
        </w:rPr>
        <w:t xml:space="preserve"> </w:t>
      </w:r>
      <w:r w:rsidR="009D026A" w:rsidRPr="003B4405">
        <w:rPr>
          <w:rFonts w:ascii="Arial" w:hAnsi="Arial" w:cs="Arial"/>
        </w:rPr>
        <w:t xml:space="preserve">debe </w:t>
      </w:r>
      <w:r w:rsidR="00530B74">
        <w:rPr>
          <w:rFonts w:ascii="Arial" w:hAnsi="Arial" w:cs="Arial"/>
        </w:rPr>
        <w:t xml:space="preserve">generar las herramientas para </w:t>
      </w:r>
      <w:r w:rsidR="009D026A" w:rsidRPr="003B4405">
        <w:rPr>
          <w:rFonts w:ascii="Arial" w:hAnsi="Arial" w:cs="Arial"/>
        </w:rPr>
        <w:t xml:space="preserve">evaluar </w:t>
      </w:r>
      <w:r w:rsidR="00640D0F">
        <w:rPr>
          <w:rFonts w:ascii="Arial" w:hAnsi="Arial" w:cs="Arial"/>
        </w:rPr>
        <w:t>los riesgos</w:t>
      </w:r>
      <w:r w:rsidRPr="003B4405">
        <w:rPr>
          <w:rFonts w:ascii="Arial" w:hAnsi="Arial" w:cs="Arial"/>
        </w:rPr>
        <w:t>, con el fin de</w:t>
      </w:r>
      <w:r w:rsidR="009D026A" w:rsidRPr="003B4405">
        <w:rPr>
          <w:rFonts w:ascii="Arial" w:hAnsi="Arial" w:cs="Arial"/>
        </w:rPr>
        <w:t xml:space="preserve"> </w:t>
      </w:r>
      <w:r w:rsidR="00530B74">
        <w:rPr>
          <w:rFonts w:ascii="Arial" w:hAnsi="Arial" w:cs="Arial"/>
        </w:rPr>
        <w:t xml:space="preserve">que los usuarios expertos puedan determinar </w:t>
      </w:r>
      <w:r w:rsidRPr="003B4405">
        <w:rPr>
          <w:rFonts w:ascii="Arial" w:hAnsi="Arial" w:cs="Arial"/>
        </w:rPr>
        <w:t xml:space="preserve">si </w:t>
      </w:r>
      <w:r w:rsidR="001641B7">
        <w:rPr>
          <w:rFonts w:ascii="Arial" w:hAnsi="Arial" w:cs="Arial"/>
        </w:rPr>
        <w:t>los</w:t>
      </w:r>
      <w:r w:rsidR="00800D66" w:rsidRPr="003B4405">
        <w:rPr>
          <w:rFonts w:ascii="Arial" w:hAnsi="Arial" w:cs="Arial"/>
        </w:rPr>
        <w:t xml:space="preserve"> controles mantienen</w:t>
      </w:r>
      <w:r w:rsidRPr="003B4405">
        <w:rPr>
          <w:rFonts w:ascii="Arial" w:hAnsi="Arial" w:cs="Arial"/>
        </w:rPr>
        <w:t xml:space="preserve"> </w:t>
      </w:r>
      <w:r w:rsidR="009D026A" w:rsidRPr="003B4405">
        <w:rPr>
          <w:rFonts w:ascii="Arial" w:hAnsi="Arial" w:cs="Arial"/>
        </w:rPr>
        <w:t>el riesgo residual de LC/FT/FPADM de las PVFI</w:t>
      </w:r>
      <w:r w:rsidR="00880969" w:rsidRPr="003B4405">
        <w:rPr>
          <w:rFonts w:ascii="Arial" w:hAnsi="Arial" w:cs="Arial"/>
        </w:rPr>
        <w:t xml:space="preserve"> dentro de los rangos establecidos en la declaratoria de apetito de riesgo.</w:t>
      </w:r>
    </w:p>
    <w:p w14:paraId="7560F090" w14:textId="77777777" w:rsidR="00EA1F98" w:rsidRDefault="00EA1F98" w:rsidP="00A25E85">
      <w:pPr>
        <w:autoSpaceDE w:val="0"/>
        <w:autoSpaceDN w:val="0"/>
        <w:adjustRightInd w:val="0"/>
        <w:spacing w:before="120" w:after="120" w:line="240" w:lineRule="auto"/>
        <w:jc w:val="both"/>
        <w:rPr>
          <w:rFonts w:ascii="Arial" w:hAnsi="Arial" w:cs="Arial"/>
        </w:rPr>
      </w:pPr>
    </w:p>
    <w:p w14:paraId="22F9AA97" w14:textId="77777777" w:rsidR="00945D88" w:rsidRPr="003B4405" w:rsidRDefault="00945D88" w:rsidP="00945D88">
      <w:pPr>
        <w:pStyle w:val="Ttulo2"/>
        <w:spacing w:before="120" w:after="120"/>
        <w:rPr>
          <w:rFonts w:ascii="Arial" w:hAnsi="Arial" w:cs="Arial"/>
          <w:b/>
          <w:bCs/>
          <w:color w:val="auto"/>
          <w:sz w:val="22"/>
          <w:szCs w:val="22"/>
        </w:rPr>
      </w:pPr>
      <w:r w:rsidRPr="003B4405">
        <w:rPr>
          <w:rFonts w:ascii="Arial" w:hAnsi="Arial" w:cs="Arial"/>
          <w:b/>
          <w:bCs/>
          <w:color w:val="auto"/>
          <w:sz w:val="22"/>
          <w:szCs w:val="22"/>
        </w:rPr>
        <w:t xml:space="preserve">Artículo </w:t>
      </w:r>
      <w:r>
        <w:rPr>
          <w:rFonts w:ascii="Arial" w:hAnsi="Arial" w:cs="Arial"/>
          <w:b/>
          <w:bCs/>
          <w:color w:val="auto"/>
          <w:sz w:val="22"/>
          <w:szCs w:val="22"/>
        </w:rPr>
        <w:t>8</w:t>
      </w:r>
      <w:r w:rsidRPr="003B4405">
        <w:rPr>
          <w:rFonts w:ascii="Arial" w:hAnsi="Arial" w:cs="Arial"/>
          <w:b/>
          <w:bCs/>
          <w:color w:val="auto"/>
          <w:sz w:val="22"/>
          <w:szCs w:val="22"/>
        </w:rPr>
        <w:t xml:space="preserve">. </w:t>
      </w:r>
      <w:r>
        <w:rPr>
          <w:rFonts w:ascii="Arial" w:hAnsi="Arial" w:cs="Arial"/>
          <w:b/>
          <w:bCs/>
          <w:color w:val="auto"/>
          <w:sz w:val="22"/>
          <w:szCs w:val="22"/>
        </w:rPr>
        <w:t>Segmentación de riesgo por PVFI</w:t>
      </w:r>
    </w:p>
    <w:p w14:paraId="5F123A72" w14:textId="77777777" w:rsidR="00945D88" w:rsidRPr="00945D88" w:rsidRDefault="00945D88" w:rsidP="00945D88">
      <w:pPr>
        <w:autoSpaceDE w:val="0"/>
        <w:autoSpaceDN w:val="0"/>
        <w:adjustRightInd w:val="0"/>
        <w:spacing w:before="120" w:after="120" w:line="240" w:lineRule="auto"/>
        <w:jc w:val="both"/>
        <w:rPr>
          <w:rFonts w:ascii="Arial" w:hAnsi="Arial" w:cs="Arial"/>
        </w:rPr>
      </w:pPr>
      <w:r>
        <w:rPr>
          <w:rFonts w:ascii="Arial" w:hAnsi="Arial" w:cs="Arial"/>
        </w:rPr>
        <w:t xml:space="preserve">El sujeto obligado </w:t>
      </w:r>
      <w:r w:rsidR="00C76E90">
        <w:rPr>
          <w:rFonts w:ascii="Arial" w:hAnsi="Arial" w:cs="Arial"/>
        </w:rPr>
        <w:t>debe</w:t>
      </w:r>
      <w:r w:rsidR="00C76E90" w:rsidRPr="00945D88">
        <w:rPr>
          <w:rFonts w:ascii="Arial" w:hAnsi="Arial" w:cs="Arial"/>
        </w:rPr>
        <w:t xml:space="preserve"> </w:t>
      </w:r>
      <w:r w:rsidRPr="00945D88">
        <w:rPr>
          <w:rFonts w:ascii="Arial" w:hAnsi="Arial" w:cs="Arial"/>
        </w:rPr>
        <w:t xml:space="preserve">diseñar una </w:t>
      </w:r>
      <w:r>
        <w:rPr>
          <w:rFonts w:ascii="Arial" w:hAnsi="Arial" w:cs="Arial"/>
        </w:rPr>
        <w:t xml:space="preserve">segmentación por </w:t>
      </w:r>
      <w:r w:rsidRPr="00945D88">
        <w:rPr>
          <w:rFonts w:ascii="Arial" w:hAnsi="Arial" w:cs="Arial"/>
        </w:rPr>
        <w:t>riesgo</w:t>
      </w:r>
      <w:r w:rsidR="00C86B9F">
        <w:rPr>
          <w:rFonts w:ascii="Arial" w:hAnsi="Arial" w:cs="Arial"/>
        </w:rPr>
        <w:t>,</w:t>
      </w:r>
      <w:r w:rsidRPr="00945D88">
        <w:rPr>
          <w:rFonts w:ascii="Arial" w:hAnsi="Arial" w:cs="Arial"/>
        </w:rPr>
        <w:t xml:space="preserve"> aprobada por el órgano de dirección</w:t>
      </w:r>
      <w:r w:rsidR="00F66CF1">
        <w:rPr>
          <w:rFonts w:ascii="Arial" w:hAnsi="Arial" w:cs="Arial"/>
        </w:rPr>
        <w:t xml:space="preserve">, para definir los plazos de actualización de la información </w:t>
      </w:r>
      <w:r w:rsidR="00F66CF1" w:rsidRPr="00945D88">
        <w:rPr>
          <w:rFonts w:ascii="Arial" w:hAnsi="Arial" w:cs="Arial"/>
        </w:rPr>
        <w:t>de</w:t>
      </w:r>
      <w:r w:rsidR="00F66CF1">
        <w:rPr>
          <w:rFonts w:ascii="Arial" w:hAnsi="Arial" w:cs="Arial"/>
        </w:rPr>
        <w:t xml:space="preserve"> </w:t>
      </w:r>
      <w:r w:rsidR="00F66CF1" w:rsidRPr="00945D88">
        <w:rPr>
          <w:rFonts w:ascii="Arial" w:hAnsi="Arial" w:cs="Arial"/>
        </w:rPr>
        <w:t xml:space="preserve">sus </w:t>
      </w:r>
      <w:r w:rsidR="00F66CF1">
        <w:rPr>
          <w:rFonts w:ascii="Arial" w:hAnsi="Arial" w:cs="Arial"/>
        </w:rPr>
        <w:t>PVFI</w:t>
      </w:r>
      <w:r w:rsidR="001641B7">
        <w:rPr>
          <w:rFonts w:ascii="Arial" w:hAnsi="Arial" w:cs="Arial"/>
        </w:rPr>
        <w:t xml:space="preserve"> recurrentes</w:t>
      </w:r>
      <w:r w:rsidRPr="00945D88">
        <w:rPr>
          <w:rFonts w:ascii="Arial" w:hAnsi="Arial" w:cs="Arial"/>
        </w:rPr>
        <w:t xml:space="preserve">. Esta </w:t>
      </w:r>
      <w:r>
        <w:rPr>
          <w:rFonts w:ascii="Arial" w:hAnsi="Arial" w:cs="Arial"/>
        </w:rPr>
        <w:t xml:space="preserve">segmentación </w:t>
      </w:r>
      <w:r w:rsidR="00A96A83">
        <w:rPr>
          <w:rFonts w:ascii="Arial" w:hAnsi="Arial" w:cs="Arial"/>
        </w:rPr>
        <w:t>puede</w:t>
      </w:r>
      <w:r>
        <w:rPr>
          <w:rFonts w:ascii="Arial" w:hAnsi="Arial" w:cs="Arial"/>
        </w:rPr>
        <w:t xml:space="preserve"> </w:t>
      </w:r>
      <w:r w:rsidRPr="00945D88">
        <w:rPr>
          <w:rFonts w:ascii="Arial" w:hAnsi="Arial" w:cs="Arial"/>
        </w:rPr>
        <w:t xml:space="preserve">considerar variables </w:t>
      </w:r>
      <w:r w:rsidR="00C76E90">
        <w:rPr>
          <w:rFonts w:ascii="Arial" w:hAnsi="Arial" w:cs="Arial"/>
        </w:rPr>
        <w:t>como</w:t>
      </w:r>
      <w:r w:rsidRPr="00945D88">
        <w:rPr>
          <w:rFonts w:ascii="Arial" w:hAnsi="Arial" w:cs="Arial"/>
        </w:rPr>
        <w:t xml:space="preserve"> las siguientes, sin</w:t>
      </w:r>
      <w:r>
        <w:rPr>
          <w:rFonts w:ascii="Arial" w:hAnsi="Arial" w:cs="Arial"/>
        </w:rPr>
        <w:t xml:space="preserve"> </w:t>
      </w:r>
      <w:r w:rsidRPr="00945D88">
        <w:rPr>
          <w:rFonts w:ascii="Arial" w:hAnsi="Arial" w:cs="Arial"/>
        </w:rPr>
        <w:t>estar limitadas a estas:</w:t>
      </w:r>
    </w:p>
    <w:p w14:paraId="59590E37" w14:textId="77777777" w:rsidR="00FD7080" w:rsidRPr="002166DB" w:rsidRDefault="00945D88" w:rsidP="009745CB">
      <w:pPr>
        <w:pStyle w:val="Prrafodelista"/>
        <w:numPr>
          <w:ilvl w:val="0"/>
          <w:numId w:val="27"/>
        </w:numPr>
        <w:jc w:val="both"/>
        <w:rPr>
          <w:rFonts w:ascii="Arial" w:hAnsi="Arial" w:cs="Arial"/>
        </w:rPr>
      </w:pPr>
      <w:r w:rsidRPr="001C600A">
        <w:rPr>
          <w:rFonts w:ascii="Arial" w:hAnsi="Arial" w:cs="Arial"/>
        </w:rPr>
        <w:t xml:space="preserve">Características del PVFI: </w:t>
      </w:r>
      <w:r w:rsidR="00533AEC" w:rsidRPr="001C600A">
        <w:rPr>
          <w:rFonts w:ascii="Arial" w:hAnsi="Arial" w:cs="Arial"/>
        </w:rPr>
        <w:t xml:space="preserve">Tipo </w:t>
      </w:r>
      <w:r w:rsidR="00237586" w:rsidRPr="001C600A">
        <w:rPr>
          <w:rFonts w:ascii="Arial" w:hAnsi="Arial" w:cs="Arial"/>
        </w:rPr>
        <w:t xml:space="preserve">de persona </w:t>
      </w:r>
      <w:r w:rsidR="00B2183E" w:rsidRPr="001C600A">
        <w:rPr>
          <w:rFonts w:ascii="Arial" w:hAnsi="Arial" w:cs="Arial"/>
        </w:rPr>
        <w:t>físic</w:t>
      </w:r>
      <w:r w:rsidR="00B2183E">
        <w:rPr>
          <w:rFonts w:ascii="Arial" w:hAnsi="Arial" w:cs="Arial"/>
        </w:rPr>
        <w:t>a</w:t>
      </w:r>
      <w:r w:rsidR="00B2183E" w:rsidRPr="001C600A">
        <w:rPr>
          <w:rFonts w:ascii="Arial" w:hAnsi="Arial" w:cs="Arial"/>
        </w:rPr>
        <w:t xml:space="preserve"> </w:t>
      </w:r>
      <w:r w:rsidR="00237586" w:rsidRPr="001C600A">
        <w:rPr>
          <w:rFonts w:ascii="Arial" w:hAnsi="Arial" w:cs="Arial"/>
        </w:rPr>
        <w:t xml:space="preserve">o </w:t>
      </w:r>
      <w:r w:rsidR="00B2183E" w:rsidRPr="001C600A">
        <w:rPr>
          <w:rFonts w:ascii="Arial" w:hAnsi="Arial" w:cs="Arial"/>
        </w:rPr>
        <w:t>jurídic</w:t>
      </w:r>
      <w:r w:rsidR="00B2183E">
        <w:rPr>
          <w:rFonts w:ascii="Arial" w:hAnsi="Arial" w:cs="Arial"/>
        </w:rPr>
        <w:t>a</w:t>
      </w:r>
      <w:r w:rsidR="00533AEC" w:rsidRPr="001C600A">
        <w:rPr>
          <w:rFonts w:ascii="Arial" w:hAnsi="Arial" w:cs="Arial"/>
        </w:rPr>
        <w:t>, actividad económica</w:t>
      </w:r>
      <w:r w:rsidR="00EB4253" w:rsidRPr="001C600A">
        <w:rPr>
          <w:rFonts w:ascii="Arial" w:hAnsi="Arial" w:cs="Arial"/>
        </w:rPr>
        <w:t>,</w:t>
      </w:r>
      <w:r w:rsidRPr="001C600A">
        <w:rPr>
          <w:rFonts w:ascii="Arial" w:hAnsi="Arial" w:cs="Arial"/>
        </w:rPr>
        <w:t xml:space="preserve"> </w:t>
      </w:r>
      <w:r w:rsidR="001C600A" w:rsidRPr="002166DB">
        <w:rPr>
          <w:rFonts w:ascii="Arial" w:hAnsi="Arial" w:cs="Arial"/>
        </w:rPr>
        <w:t xml:space="preserve">trayectoria del negocio, </w:t>
      </w:r>
      <w:r w:rsidR="00533AEC" w:rsidRPr="002166DB">
        <w:rPr>
          <w:rFonts w:ascii="Arial" w:hAnsi="Arial" w:cs="Arial"/>
        </w:rPr>
        <w:t>canales de pago de mayor riesgo</w:t>
      </w:r>
      <w:r w:rsidR="00EB4253" w:rsidRPr="002166DB">
        <w:rPr>
          <w:rFonts w:ascii="Arial" w:hAnsi="Arial" w:cs="Arial"/>
        </w:rPr>
        <w:t>,</w:t>
      </w:r>
      <w:r w:rsidRPr="002166DB">
        <w:rPr>
          <w:rFonts w:ascii="Arial" w:hAnsi="Arial" w:cs="Arial"/>
        </w:rPr>
        <w:t xml:space="preserve"> </w:t>
      </w:r>
      <w:r w:rsidR="00237586" w:rsidRPr="002166DB">
        <w:rPr>
          <w:rFonts w:ascii="Arial" w:hAnsi="Arial" w:cs="Arial"/>
        </w:rPr>
        <w:t xml:space="preserve">recurrencia en la prestación de bienes o servicios, </w:t>
      </w:r>
      <w:r w:rsidR="001C600A" w:rsidRPr="002166DB">
        <w:rPr>
          <w:rFonts w:ascii="Arial" w:hAnsi="Arial" w:cs="Arial"/>
        </w:rPr>
        <w:t>vinculación con actividades sensibles</w:t>
      </w:r>
      <w:r w:rsidR="00CB5664" w:rsidRPr="002166DB">
        <w:rPr>
          <w:rFonts w:ascii="Arial" w:hAnsi="Arial" w:cs="Arial"/>
        </w:rPr>
        <w:t xml:space="preserve"> o vulnerables de ser punto de entrada de fondos de origen ilícito,</w:t>
      </w:r>
      <w:r w:rsidR="001C600A" w:rsidRPr="002166DB">
        <w:rPr>
          <w:rFonts w:ascii="Arial" w:hAnsi="Arial" w:cs="Arial"/>
        </w:rPr>
        <w:t xml:space="preserve"> </w:t>
      </w:r>
      <w:r w:rsidRPr="002166DB">
        <w:rPr>
          <w:rFonts w:ascii="Arial" w:hAnsi="Arial" w:cs="Arial"/>
        </w:rPr>
        <w:t>personas expuestas políticamente (PEP)</w:t>
      </w:r>
      <w:r w:rsidR="00533AEC" w:rsidRPr="002166DB">
        <w:rPr>
          <w:rFonts w:ascii="Arial" w:hAnsi="Arial" w:cs="Arial"/>
        </w:rPr>
        <w:t xml:space="preserve"> o partidos políticos</w:t>
      </w:r>
      <w:r w:rsidR="00EB4253" w:rsidRPr="002166DB">
        <w:rPr>
          <w:rFonts w:ascii="Arial" w:hAnsi="Arial" w:cs="Arial"/>
        </w:rPr>
        <w:t>,</w:t>
      </w:r>
      <w:r w:rsidRPr="002166DB">
        <w:rPr>
          <w:rFonts w:ascii="Arial" w:hAnsi="Arial" w:cs="Arial"/>
        </w:rPr>
        <w:t xml:space="preserve"> actividades descritas en los artículos 15 y </w:t>
      </w:r>
      <w:r w:rsidRPr="002166DB">
        <w:rPr>
          <w:rFonts w:ascii="Arial" w:hAnsi="Arial" w:cs="Arial"/>
        </w:rPr>
        <w:lastRenderedPageBreak/>
        <w:t>15 bis de la Ley 7786</w:t>
      </w:r>
      <w:r w:rsidR="00EB4253" w:rsidRPr="002166DB">
        <w:rPr>
          <w:rFonts w:ascii="Arial" w:hAnsi="Arial" w:cs="Arial"/>
        </w:rPr>
        <w:t>,</w:t>
      </w:r>
      <w:r w:rsidRPr="002166DB">
        <w:rPr>
          <w:rFonts w:ascii="Arial" w:hAnsi="Arial" w:cs="Arial"/>
        </w:rPr>
        <w:t xml:space="preserve"> </w:t>
      </w:r>
      <w:r w:rsidR="00AE715D" w:rsidRPr="002166DB">
        <w:rPr>
          <w:rFonts w:ascii="Arial" w:hAnsi="Arial" w:cs="Arial"/>
        </w:rPr>
        <w:t xml:space="preserve">personas procedentes de países de alto riesgo según GAFI, organizaciones sin fines de lucro (OSFL), fundaciones, </w:t>
      </w:r>
      <w:r w:rsidR="00533AEC" w:rsidRPr="002166DB">
        <w:rPr>
          <w:rFonts w:ascii="Arial" w:hAnsi="Arial" w:cs="Arial"/>
        </w:rPr>
        <w:t xml:space="preserve">complejidad de la </w:t>
      </w:r>
      <w:r w:rsidRPr="002166DB">
        <w:rPr>
          <w:rFonts w:ascii="Arial" w:hAnsi="Arial" w:cs="Arial"/>
        </w:rPr>
        <w:t>estructura de propieda</w:t>
      </w:r>
      <w:r w:rsidR="00533AEC" w:rsidRPr="002166DB">
        <w:rPr>
          <w:rFonts w:ascii="Arial" w:hAnsi="Arial" w:cs="Arial"/>
        </w:rPr>
        <w:t xml:space="preserve">d, </w:t>
      </w:r>
      <w:r w:rsidR="002A330A" w:rsidRPr="002166DB">
        <w:rPr>
          <w:rFonts w:ascii="Arial" w:hAnsi="Arial" w:cs="Arial"/>
        </w:rPr>
        <w:t xml:space="preserve">tipo de inmueble si corresponde, </w:t>
      </w:r>
      <w:r w:rsidR="00533AEC" w:rsidRPr="002166DB">
        <w:rPr>
          <w:rFonts w:ascii="Arial" w:hAnsi="Arial" w:cs="Arial"/>
        </w:rPr>
        <w:t>entre otros</w:t>
      </w:r>
      <w:r w:rsidRPr="002166DB">
        <w:rPr>
          <w:rFonts w:ascii="Arial" w:hAnsi="Arial" w:cs="Arial"/>
        </w:rPr>
        <w:t>.</w:t>
      </w:r>
    </w:p>
    <w:p w14:paraId="488335E9" w14:textId="77777777" w:rsidR="00FD7080" w:rsidRPr="002166DB" w:rsidRDefault="00FD7080" w:rsidP="00FD7080">
      <w:pPr>
        <w:pStyle w:val="Prrafodelista"/>
        <w:autoSpaceDE w:val="0"/>
        <w:autoSpaceDN w:val="0"/>
        <w:adjustRightInd w:val="0"/>
        <w:spacing w:before="120" w:after="120" w:line="240" w:lineRule="auto"/>
        <w:jc w:val="both"/>
        <w:rPr>
          <w:rFonts w:ascii="Arial" w:hAnsi="Arial" w:cs="Arial"/>
        </w:rPr>
      </w:pPr>
    </w:p>
    <w:p w14:paraId="6CB814FE" w14:textId="77777777" w:rsidR="00945D88" w:rsidRPr="002166DB" w:rsidRDefault="00945D88" w:rsidP="009745CB">
      <w:pPr>
        <w:pStyle w:val="Prrafodelista"/>
        <w:numPr>
          <w:ilvl w:val="0"/>
          <w:numId w:val="27"/>
        </w:numPr>
        <w:jc w:val="both"/>
        <w:rPr>
          <w:rFonts w:ascii="Arial" w:hAnsi="Arial" w:cs="Arial"/>
        </w:rPr>
      </w:pPr>
      <w:r w:rsidRPr="002166DB">
        <w:rPr>
          <w:rFonts w:ascii="Arial" w:hAnsi="Arial" w:cs="Arial"/>
        </w:rPr>
        <w:t xml:space="preserve">Criterios relacionados con zonas geográficas: </w:t>
      </w:r>
      <w:r w:rsidR="00EB4253" w:rsidRPr="002166DB">
        <w:rPr>
          <w:rFonts w:ascii="Arial" w:hAnsi="Arial" w:cs="Arial"/>
        </w:rPr>
        <w:t>nacionalidad</w:t>
      </w:r>
      <w:r w:rsidR="001C600A" w:rsidRPr="002166DB">
        <w:rPr>
          <w:rFonts w:ascii="Arial" w:hAnsi="Arial" w:cs="Arial"/>
        </w:rPr>
        <w:t>es</w:t>
      </w:r>
      <w:r w:rsidR="00EB4253" w:rsidRPr="002166DB">
        <w:rPr>
          <w:rFonts w:ascii="Arial" w:hAnsi="Arial" w:cs="Arial"/>
        </w:rPr>
        <w:t xml:space="preserve">, </w:t>
      </w:r>
      <w:r w:rsidR="001C600A" w:rsidRPr="002166DB">
        <w:rPr>
          <w:rFonts w:ascii="Arial" w:hAnsi="Arial" w:cs="Arial"/>
        </w:rPr>
        <w:t xml:space="preserve">localización en distintas jurisdicciones, </w:t>
      </w:r>
      <w:r w:rsidRPr="002166DB">
        <w:rPr>
          <w:rFonts w:ascii="Arial" w:hAnsi="Arial" w:cs="Arial"/>
        </w:rPr>
        <w:t>vincula</w:t>
      </w:r>
      <w:r w:rsidR="000E2219" w:rsidRPr="002166DB">
        <w:rPr>
          <w:rFonts w:ascii="Arial" w:hAnsi="Arial" w:cs="Arial"/>
        </w:rPr>
        <w:t>ción</w:t>
      </w:r>
      <w:r w:rsidRPr="002166DB">
        <w:rPr>
          <w:rFonts w:ascii="Arial" w:hAnsi="Arial" w:cs="Arial"/>
        </w:rPr>
        <w:t xml:space="preserve"> con países</w:t>
      </w:r>
      <w:r w:rsidR="00533AEC" w:rsidRPr="002166DB">
        <w:rPr>
          <w:rFonts w:ascii="Arial" w:hAnsi="Arial" w:cs="Arial"/>
        </w:rPr>
        <w:t xml:space="preserve"> </w:t>
      </w:r>
      <w:r w:rsidRPr="002166DB">
        <w:rPr>
          <w:rFonts w:ascii="Arial" w:hAnsi="Arial" w:cs="Arial"/>
        </w:rPr>
        <w:t>considerados como de alto riesgo según lo recomendado por el Grupo de Acción</w:t>
      </w:r>
      <w:r w:rsidR="00533AEC" w:rsidRPr="002166DB">
        <w:rPr>
          <w:rFonts w:ascii="Arial" w:hAnsi="Arial" w:cs="Arial"/>
        </w:rPr>
        <w:t xml:space="preserve"> </w:t>
      </w:r>
      <w:r w:rsidRPr="002166DB">
        <w:rPr>
          <w:rFonts w:ascii="Arial" w:hAnsi="Arial" w:cs="Arial"/>
        </w:rPr>
        <w:t>Financiera (GAFI), ONU, OFAC, entre otros.</w:t>
      </w:r>
    </w:p>
    <w:p w14:paraId="6D0A3CF2" w14:textId="77777777" w:rsidR="00097227" w:rsidRPr="002166DB" w:rsidRDefault="00097227" w:rsidP="00DC12B2">
      <w:pPr>
        <w:autoSpaceDE w:val="0"/>
        <w:autoSpaceDN w:val="0"/>
        <w:adjustRightInd w:val="0"/>
        <w:spacing w:before="120" w:after="120" w:line="240" w:lineRule="auto"/>
        <w:jc w:val="both"/>
        <w:rPr>
          <w:rFonts w:ascii="Arial" w:hAnsi="Arial" w:cs="Arial"/>
        </w:rPr>
      </w:pPr>
    </w:p>
    <w:p w14:paraId="3CD106AD" w14:textId="77777777" w:rsidR="00C47776" w:rsidRPr="002166DB" w:rsidRDefault="00C47776" w:rsidP="00DC12B2">
      <w:pPr>
        <w:pStyle w:val="Ttulo1"/>
        <w:spacing w:before="120" w:after="120"/>
        <w:jc w:val="center"/>
        <w:rPr>
          <w:rFonts w:ascii="Arial" w:hAnsi="Arial" w:cs="Arial"/>
          <w:b/>
          <w:bCs/>
          <w:color w:val="auto"/>
          <w:sz w:val="22"/>
          <w:szCs w:val="22"/>
        </w:rPr>
      </w:pPr>
      <w:bookmarkStart w:id="15" w:name="_Toc92879764"/>
      <w:bookmarkStart w:id="16" w:name="_Toc93484873"/>
      <w:r w:rsidRPr="002166DB">
        <w:rPr>
          <w:rFonts w:ascii="Arial" w:hAnsi="Arial" w:cs="Arial"/>
          <w:b/>
          <w:bCs/>
          <w:color w:val="auto"/>
          <w:sz w:val="22"/>
          <w:szCs w:val="22"/>
        </w:rPr>
        <w:t>CAPÍTULO I</w:t>
      </w:r>
      <w:bookmarkEnd w:id="15"/>
      <w:r w:rsidRPr="002166DB">
        <w:rPr>
          <w:rFonts w:ascii="Arial" w:hAnsi="Arial" w:cs="Arial"/>
          <w:b/>
          <w:bCs/>
          <w:color w:val="auto"/>
          <w:sz w:val="22"/>
          <w:szCs w:val="22"/>
        </w:rPr>
        <w:t>V</w:t>
      </w:r>
      <w:bookmarkEnd w:id="16"/>
    </w:p>
    <w:p w14:paraId="39F9F0F1" w14:textId="77777777" w:rsidR="00C47776" w:rsidRPr="002166DB" w:rsidRDefault="00C47776" w:rsidP="00DC12B2">
      <w:pPr>
        <w:pStyle w:val="Ttulo1"/>
        <w:spacing w:before="120" w:after="120"/>
        <w:jc w:val="center"/>
        <w:rPr>
          <w:rFonts w:ascii="Arial" w:hAnsi="Arial" w:cs="Arial"/>
          <w:b/>
          <w:bCs/>
          <w:color w:val="auto"/>
          <w:sz w:val="22"/>
          <w:szCs w:val="22"/>
        </w:rPr>
      </w:pPr>
      <w:bookmarkStart w:id="17" w:name="_Toc93484874"/>
      <w:r w:rsidRPr="002166DB">
        <w:rPr>
          <w:rFonts w:ascii="Arial" w:hAnsi="Arial" w:cs="Arial"/>
          <w:b/>
          <w:bCs/>
          <w:color w:val="auto"/>
          <w:sz w:val="22"/>
          <w:szCs w:val="22"/>
        </w:rPr>
        <w:t>MEDIDAS PREVENTIVAS</w:t>
      </w:r>
      <w:bookmarkEnd w:id="17"/>
    </w:p>
    <w:p w14:paraId="449D1C13" w14:textId="77777777" w:rsidR="00185728" w:rsidRPr="002166DB" w:rsidRDefault="00185728" w:rsidP="00DC12B2">
      <w:pPr>
        <w:autoSpaceDE w:val="0"/>
        <w:autoSpaceDN w:val="0"/>
        <w:adjustRightInd w:val="0"/>
        <w:spacing w:before="120" w:after="120" w:line="240" w:lineRule="auto"/>
        <w:jc w:val="both"/>
        <w:rPr>
          <w:rFonts w:ascii="Arial" w:hAnsi="Arial" w:cs="Arial"/>
        </w:rPr>
      </w:pPr>
    </w:p>
    <w:p w14:paraId="5A4AEC87" w14:textId="77777777" w:rsidR="001E1616" w:rsidRPr="002166DB" w:rsidRDefault="003C0675" w:rsidP="00DC12B2">
      <w:pPr>
        <w:pStyle w:val="Ttulo2"/>
        <w:spacing w:before="120" w:after="120"/>
        <w:rPr>
          <w:rFonts w:ascii="Arial" w:hAnsi="Arial" w:cs="Arial"/>
          <w:b/>
          <w:bCs/>
          <w:color w:val="auto"/>
          <w:sz w:val="22"/>
          <w:szCs w:val="22"/>
        </w:rPr>
      </w:pPr>
      <w:bookmarkStart w:id="18" w:name="_Toc93484875"/>
      <w:r w:rsidRPr="002166DB">
        <w:rPr>
          <w:rFonts w:ascii="Arial" w:hAnsi="Arial" w:cs="Arial"/>
          <w:b/>
          <w:bCs/>
          <w:color w:val="auto"/>
          <w:sz w:val="22"/>
          <w:szCs w:val="22"/>
        </w:rPr>
        <w:t xml:space="preserve">Artículo </w:t>
      </w:r>
      <w:r w:rsidR="008D66C6" w:rsidRPr="002166DB">
        <w:rPr>
          <w:rFonts w:ascii="Arial" w:hAnsi="Arial" w:cs="Arial"/>
          <w:b/>
          <w:bCs/>
          <w:color w:val="auto"/>
          <w:sz w:val="22"/>
          <w:szCs w:val="22"/>
        </w:rPr>
        <w:t>9</w:t>
      </w:r>
      <w:r w:rsidRPr="002166DB">
        <w:rPr>
          <w:rFonts w:ascii="Arial" w:hAnsi="Arial" w:cs="Arial"/>
          <w:b/>
          <w:bCs/>
          <w:color w:val="auto"/>
          <w:sz w:val="22"/>
          <w:szCs w:val="22"/>
        </w:rPr>
        <w:t xml:space="preserve">. </w:t>
      </w:r>
      <w:r w:rsidR="00C86594" w:rsidRPr="002166DB">
        <w:rPr>
          <w:rFonts w:ascii="Arial" w:hAnsi="Arial" w:cs="Arial"/>
          <w:b/>
          <w:bCs/>
          <w:color w:val="auto"/>
          <w:sz w:val="22"/>
          <w:szCs w:val="22"/>
        </w:rPr>
        <w:t>Identificación y actualización</w:t>
      </w:r>
      <w:r w:rsidRPr="002166DB">
        <w:rPr>
          <w:rFonts w:ascii="Arial" w:hAnsi="Arial" w:cs="Arial"/>
          <w:b/>
          <w:bCs/>
          <w:color w:val="auto"/>
          <w:sz w:val="22"/>
          <w:szCs w:val="22"/>
        </w:rPr>
        <w:t xml:space="preserve"> de</w:t>
      </w:r>
      <w:r w:rsidR="00FC7FF0" w:rsidRPr="002166DB">
        <w:rPr>
          <w:rFonts w:ascii="Arial" w:hAnsi="Arial" w:cs="Arial"/>
          <w:b/>
          <w:bCs/>
          <w:color w:val="auto"/>
          <w:sz w:val="22"/>
          <w:szCs w:val="22"/>
        </w:rPr>
        <w:t xml:space="preserve"> la</w:t>
      </w:r>
      <w:r w:rsidR="008A7AE6" w:rsidRPr="002166DB">
        <w:rPr>
          <w:rFonts w:ascii="Arial" w:hAnsi="Arial" w:cs="Arial"/>
          <w:b/>
          <w:bCs/>
          <w:color w:val="auto"/>
          <w:sz w:val="22"/>
          <w:szCs w:val="22"/>
        </w:rPr>
        <w:t>s</w:t>
      </w:r>
      <w:r w:rsidRPr="002166DB">
        <w:rPr>
          <w:rFonts w:ascii="Arial" w:hAnsi="Arial" w:cs="Arial"/>
          <w:b/>
          <w:bCs/>
          <w:color w:val="auto"/>
          <w:sz w:val="22"/>
          <w:szCs w:val="22"/>
        </w:rPr>
        <w:t xml:space="preserve"> </w:t>
      </w:r>
      <w:r w:rsidR="00FC7FF0" w:rsidRPr="002166DB">
        <w:rPr>
          <w:rFonts w:ascii="Arial" w:hAnsi="Arial" w:cs="Arial"/>
          <w:b/>
          <w:bCs/>
          <w:color w:val="auto"/>
          <w:sz w:val="22"/>
          <w:szCs w:val="22"/>
        </w:rPr>
        <w:t>PVFI</w:t>
      </w:r>
      <w:bookmarkEnd w:id="18"/>
    </w:p>
    <w:p w14:paraId="0760D8E7" w14:textId="77777777" w:rsidR="002D2815" w:rsidRPr="002166DB" w:rsidRDefault="002D2815" w:rsidP="00082623">
      <w:pPr>
        <w:spacing w:before="120" w:after="120"/>
        <w:jc w:val="both"/>
        <w:rPr>
          <w:rFonts w:ascii="Arial" w:hAnsi="Arial" w:cs="Arial"/>
        </w:rPr>
      </w:pPr>
      <w:r w:rsidRPr="002166DB">
        <w:rPr>
          <w:rFonts w:ascii="Arial" w:hAnsi="Arial" w:cs="Arial"/>
        </w:rPr>
        <w:t>El sujeto obligado</w:t>
      </w:r>
      <w:r w:rsidR="00082623" w:rsidRPr="002166DB">
        <w:rPr>
          <w:rFonts w:ascii="Arial" w:hAnsi="Arial" w:cs="Arial"/>
        </w:rPr>
        <w:t xml:space="preserve"> </w:t>
      </w:r>
      <w:r w:rsidR="00A269EC" w:rsidRPr="002166DB">
        <w:rPr>
          <w:rFonts w:ascii="Arial" w:hAnsi="Arial" w:cs="Arial"/>
        </w:rPr>
        <w:t xml:space="preserve">debe desarrollar un procedimiento que permita la </w:t>
      </w:r>
      <w:r w:rsidR="005901FA" w:rsidRPr="002166DB">
        <w:rPr>
          <w:rFonts w:ascii="Arial" w:hAnsi="Arial" w:cs="Arial"/>
        </w:rPr>
        <w:t>identificación</w:t>
      </w:r>
      <w:r w:rsidR="00A269EC" w:rsidRPr="002166DB">
        <w:rPr>
          <w:rFonts w:ascii="Arial" w:hAnsi="Arial" w:cs="Arial"/>
        </w:rPr>
        <w:t xml:space="preserve"> y actualización </w:t>
      </w:r>
      <w:r w:rsidR="00593C8F" w:rsidRPr="002166DB">
        <w:rPr>
          <w:rFonts w:ascii="Arial" w:hAnsi="Arial" w:cs="Arial"/>
        </w:rPr>
        <w:t>periódica</w:t>
      </w:r>
      <w:r w:rsidR="00A269EC" w:rsidRPr="002166DB">
        <w:rPr>
          <w:rFonts w:ascii="Arial" w:hAnsi="Arial" w:cs="Arial"/>
        </w:rPr>
        <w:t xml:space="preserve"> de </w:t>
      </w:r>
      <w:r w:rsidR="00082623" w:rsidRPr="002166DB">
        <w:rPr>
          <w:rFonts w:ascii="Arial" w:hAnsi="Arial" w:cs="Arial"/>
        </w:rPr>
        <w:t xml:space="preserve">la información </w:t>
      </w:r>
      <w:r w:rsidR="00DA3B7D" w:rsidRPr="002166DB">
        <w:rPr>
          <w:rFonts w:ascii="Arial" w:hAnsi="Arial" w:cs="Arial"/>
        </w:rPr>
        <w:t xml:space="preserve">de </w:t>
      </w:r>
      <w:r w:rsidR="00A269EC" w:rsidRPr="002166DB">
        <w:rPr>
          <w:rFonts w:ascii="Arial" w:hAnsi="Arial" w:cs="Arial"/>
        </w:rPr>
        <w:t xml:space="preserve">las </w:t>
      </w:r>
      <w:r w:rsidR="00D37ABC" w:rsidRPr="002166DB">
        <w:rPr>
          <w:rFonts w:ascii="Arial" w:hAnsi="Arial" w:cs="Arial"/>
        </w:rPr>
        <w:t xml:space="preserve">PVFI </w:t>
      </w:r>
      <w:r w:rsidR="00464B14" w:rsidRPr="002166DB">
        <w:rPr>
          <w:rFonts w:ascii="Arial" w:hAnsi="Arial" w:cs="Arial"/>
        </w:rPr>
        <w:t xml:space="preserve">recurrentes </w:t>
      </w:r>
      <w:r w:rsidR="00A269EC" w:rsidRPr="002166DB">
        <w:rPr>
          <w:rFonts w:ascii="Arial" w:hAnsi="Arial" w:cs="Arial"/>
        </w:rPr>
        <w:t xml:space="preserve">contra </w:t>
      </w:r>
      <w:r w:rsidR="008A7AE6" w:rsidRPr="002166DB">
        <w:rPr>
          <w:rFonts w:ascii="Arial" w:hAnsi="Arial" w:cs="Arial"/>
        </w:rPr>
        <w:t>estudios de bases de datos internas y externas,</w:t>
      </w:r>
      <w:r w:rsidR="003D68EF" w:rsidRPr="002166DB">
        <w:rPr>
          <w:rFonts w:ascii="Arial" w:hAnsi="Arial" w:cs="Arial"/>
        </w:rPr>
        <w:t xml:space="preserve"> gubernamentales</w:t>
      </w:r>
      <w:r w:rsidR="008A7AE6" w:rsidRPr="002166DB">
        <w:rPr>
          <w:rFonts w:ascii="Arial" w:hAnsi="Arial" w:cs="Arial"/>
        </w:rPr>
        <w:t xml:space="preserve"> y contra </w:t>
      </w:r>
      <w:r w:rsidR="00A269EC" w:rsidRPr="002166DB">
        <w:rPr>
          <w:rFonts w:ascii="Arial" w:hAnsi="Arial" w:cs="Arial"/>
        </w:rPr>
        <w:t xml:space="preserve">listas restrictivas de </w:t>
      </w:r>
      <w:r w:rsidR="008A7AE6" w:rsidRPr="002166DB">
        <w:rPr>
          <w:rFonts w:ascii="Arial" w:hAnsi="Arial" w:cs="Arial"/>
        </w:rPr>
        <w:t>o</w:t>
      </w:r>
      <w:r w:rsidR="00A269EC" w:rsidRPr="002166DB">
        <w:rPr>
          <w:rFonts w:ascii="Arial" w:hAnsi="Arial" w:cs="Arial"/>
        </w:rPr>
        <w:t xml:space="preserve">rganismos </w:t>
      </w:r>
      <w:r w:rsidR="008A7AE6" w:rsidRPr="002166DB">
        <w:rPr>
          <w:rFonts w:ascii="Arial" w:hAnsi="Arial" w:cs="Arial"/>
        </w:rPr>
        <w:t>i</w:t>
      </w:r>
      <w:r w:rsidR="00A269EC" w:rsidRPr="002166DB">
        <w:rPr>
          <w:rFonts w:ascii="Arial" w:hAnsi="Arial" w:cs="Arial"/>
        </w:rPr>
        <w:t>nternacionales</w:t>
      </w:r>
      <w:r w:rsidR="00593C8F" w:rsidRPr="002166DB">
        <w:rPr>
          <w:rFonts w:ascii="Arial" w:hAnsi="Arial" w:cs="Arial"/>
        </w:rPr>
        <w:t>.</w:t>
      </w:r>
    </w:p>
    <w:p w14:paraId="296DD1F0" w14:textId="77777777" w:rsidR="009745CB" w:rsidRPr="002166DB" w:rsidRDefault="00C76E90" w:rsidP="00AE715D">
      <w:pPr>
        <w:spacing w:before="120" w:after="120"/>
        <w:jc w:val="both"/>
        <w:rPr>
          <w:rFonts w:ascii="Arial" w:hAnsi="Arial" w:cs="Arial"/>
        </w:rPr>
      </w:pPr>
      <w:r w:rsidRPr="002166DB">
        <w:rPr>
          <w:rFonts w:ascii="Arial" w:hAnsi="Arial" w:cs="Arial"/>
        </w:rPr>
        <w:t xml:space="preserve">Para obtener la información o actualización de las PVFI, el sujeto obligado puede solicitar la autorización de consulta y </w:t>
      </w:r>
      <w:r w:rsidR="00CB5664" w:rsidRPr="002166DB">
        <w:rPr>
          <w:rFonts w:ascii="Arial" w:hAnsi="Arial" w:cs="Arial"/>
        </w:rPr>
        <w:t>tomar la información directamente de la base de datos del CICAC que como mínimo suministra: el nombre, número de identificación, información del contacto, ubicación, profesión u oficio para personas físicas y número de identificación, razón social, domicilio, actividad económica, puestos principales para personas jurídicas. Además, para obtener la información de los accionistas de las PVFI de las personas jurídicas se puede solicitar la certificación del Registro de Transparencia y Beneficiarios Finales (RTBF).</w:t>
      </w:r>
    </w:p>
    <w:p w14:paraId="751BAA9E" w14:textId="77777777" w:rsidR="00CB5664" w:rsidRPr="002166DB" w:rsidRDefault="00CB5664" w:rsidP="00AE715D">
      <w:pPr>
        <w:spacing w:before="120" w:after="120"/>
        <w:jc w:val="both"/>
        <w:rPr>
          <w:rFonts w:ascii="Arial" w:hAnsi="Arial" w:cs="Arial"/>
        </w:rPr>
      </w:pPr>
    </w:p>
    <w:p w14:paraId="416D65B6" w14:textId="77777777" w:rsidR="00C47776" w:rsidRPr="002166DB" w:rsidRDefault="00C47776" w:rsidP="00DC12B2">
      <w:pPr>
        <w:pStyle w:val="Ttulo2"/>
        <w:spacing w:before="120" w:after="120"/>
        <w:rPr>
          <w:rFonts w:ascii="Arial" w:hAnsi="Arial" w:cs="Arial"/>
          <w:b/>
          <w:bCs/>
          <w:color w:val="auto"/>
          <w:sz w:val="22"/>
          <w:szCs w:val="22"/>
        </w:rPr>
      </w:pPr>
      <w:bookmarkStart w:id="19" w:name="_Toc93484876"/>
      <w:r w:rsidRPr="002166DB">
        <w:rPr>
          <w:rFonts w:ascii="Arial" w:hAnsi="Arial" w:cs="Arial"/>
          <w:b/>
          <w:bCs/>
          <w:color w:val="auto"/>
          <w:sz w:val="22"/>
          <w:szCs w:val="22"/>
        </w:rPr>
        <w:t xml:space="preserve">Artículo </w:t>
      </w:r>
      <w:r w:rsidR="008D66C6" w:rsidRPr="002166DB">
        <w:rPr>
          <w:rFonts w:ascii="Arial" w:hAnsi="Arial" w:cs="Arial"/>
          <w:b/>
          <w:bCs/>
          <w:color w:val="auto"/>
          <w:sz w:val="22"/>
          <w:szCs w:val="22"/>
        </w:rPr>
        <w:t>10</w:t>
      </w:r>
      <w:r w:rsidRPr="002166DB">
        <w:rPr>
          <w:rFonts w:ascii="Arial" w:hAnsi="Arial" w:cs="Arial"/>
          <w:b/>
          <w:bCs/>
          <w:color w:val="auto"/>
          <w:sz w:val="22"/>
          <w:szCs w:val="22"/>
        </w:rPr>
        <w:t xml:space="preserve">. Debida diligencia </w:t>
      </w:r>
      <w:r w:rsidR="00CB5664" w:rsidRPr="002166DB">
        <w:rPr>
          <w:rFonts w:ascii="Arial" w:hAnsi="Arial" w:cs="Arial"/>
          <w:b/>
          <w:bCs/>
          <w:color w:val="auto"/>
          <w:sz w:val="22"/>
          <w:szCs w:val="22"/>
        </w:rPr>
        <w:t xml:space="preserve">ampliada </w:t>
      </w:r>
      <w:r w:rsidRPr="002166DB">
        <w:rPr>
          <w:rFonts w:ascii="Arial" w:hAnsi="Arial" w:cs="Arial"/>
          <w:b/>
          <w:bCs/>
          <w:color w:val="auto"/>
          <w:sz w:val="22"/>
          <w:szCs w:val="22"/>
        </w:rPr>
        <w:t>para la</w:t>
      </w:r>
      <w:r w:rsidR="00DC12B2" w:rsidRPr="002166DB">
        <w:rPr>
          <w:rFonts w:ascii="Arial" w:hAnsi="Arial" w:cs="Arial"/>
          <w:b/>
          <w:bCs/>
          <w:color w:val="auto"/>
          <w:sz w:val="22"/>
          <w:szCs w:val="22"/>
        </w:rPr>
        <w:t>s</w:t>
      </w:r>
      <w:r w:rsidRPr="002166DB">
        <w:rPr>
          <w:rFonts w:ascii="Arial" w:hAnsi="Arial" w:cs="Arial"/>
          <w:b/>
          <w:bCs/>
          <w:color w:val="auto"/>
          <w:sz w:val="22"/>
          <w:szCs w:val="22"/>
        </w:rPr>
        <w:t xml:space="preserve"> PVFI</w:t>
      </w:r>
      <w:bookmarkEnd w:id="19"/>
    </w:p>
    <w:p w14:paraId="1CE3C9C4" w14:textId="77777777" w:rsidR="00C47776" w:rsidRPr="002166DB" w:rsidRDefault="00C47776" w:rsidP="00DC12B2">
      <w:pPr>
        <w:autoSpaceDE w:val="0"/>
        <w:autoSpaceDN w:val="0"/>
        <w:adjustRightInd w:val="0"/>
        <w:spacing w:before="120" w:after="120" w:line="240" w:lineRule="auto"/>
        <w:jc w:val="both"/>
        <w:rPr>
          <w:rFonts w:ascii="Arial" w:hAnsi="Arial" w:cs="Arial"/>
        </w:rPr>
      </w:pPr>
      <w:r w:rsidRPr="002166DB">
        <w:rPr>
          <w:rFonts w:ascii="Arial" w:hAnsi="Arial" w:cs="Arial"/>
        </w:rPr>
        <w:t>El sujeto obligado debe definir y aplicar medidas de debida diligencia reforzada cuando determine que el riesgo de LC/FT/FPADM para las PVFI es mayor</w:t>
      </w:r>
      <w:r w:rsidR="00163741" w:rsidRPr="002166DB">
        <w:rPr>
          <w:rFonts w:ascii="Arial" w:hAnsi="Arial" w:cs="Arial"/>
        </w:rPr>
        <w:t xml:space="preserve">. </w:t>
      </w:r>
      <w:r w:rsidRPr="002166DB">
        <w:rPr>
          <w:rFonts w:ascii="Arial" w:hAnsi="Arial" w:cs="Arial"/>
        </w:rPr>
        <w:t>Para este tipo de personas se debe obtener la aprobación de la alta gerencia para establecer o continuar la relación comercial.</w:t>
      </w:r>
    </w:p>
    <w:p w14:paraId="69C02517" w14:textId="77777777" w:rsidR="00CD5395" w:rsidRPr="003B4405" w:rsidRDefault="002A3423" w:rsidP="00DC12B2">
      <w:pPr>
        <w:spacing w:before="120" w:after="120"/>
        <w:jc w:val="both"/>
        <w:rPr>
          <w:rFonts w:ascii="Arial" w:hAnsi="Arial" w:cs="Arial"/>
        </w:rPr>
      </w:pPr>
      <w:r w:rsidRPr="002166DB">
        <w:rPr>
          <w:rFonts w:ascii="Arial" w:hAnsi="Arial" w:cs="Arial"/>
        </w:rPr>
        <w:t>En</w:t>
      </w:r>
      <w:r w:rsidR="00CD5395" w:rsidRPr="002166DB">
        <w:rPr>
          <w:rFonts w:ascii="Arial" w:hAnsi="Arial" w:cs="Arial"/>
        </w:rPr>
        <w:t xml:space="preserve"> las relaciones comerciales con las PVFI que </w:t>
      </w:r>
      <w:r w:rsidR="00CD5395" w:rsidRPr="003B4405">
        <w:rPr>
          <w:rFonts w:ascii="Arial" w:hAnsi="Arial" w:cs="Arial"/>
        </w:rPr>
        <w:t>impliquen transacciones de fondos</w:t>
      </w:r>
      <w:r w:rsidR="004609C2">
        <w:rPr>
          <w:rFonts w:ascii="Arial" w:hAnsi="Arial" w:cs="Arial"/>
        </w:rPr>
        <w:t xml:space="preserve"> en efectivo o transferencias internacionales</w:t>
      </w:r>
      <w:r w:rsidR="00CD5395" w:rsidRPr="003B4405">
        <w:rPr>
          <w:rFonts w:ascii="Arial" w:hAnsi="Arial" w:cs="Arial"/>
        </w:rPr>
        <w:t xml:space="preserve">, el sujeto obligado debe obtener información que le permita conocer razonablemente la actividad, origen de fondos </w:t>
      </w:r>
      <w:r w:rsidR="00945D88">
        <w:rPr>
          <w:rFonts w:ascii="Arial" w:hAnsi="Arial" w:cs="Arial"/>
        </w:rPr>
        <w:t>o</w:t>
      </w:r>
      <w:r w:rsidR="00CD5395" w:rsidRPr="003B4405">
        <w:rPr>
          <w:rFonts w:ascii="Arial" w:hAnsi="Arial" w:cs="Arial"/>
        </w:rPr>
        <w:t xml:space="preserve"> movimientos esperados.</w:t>
      </w:r>
    </w:p>
    <w:p w14:paraId="0B5BC8BD" w14:textId="77777777" w:rsidR="005901FA" w:rsidRPr="00031BF0" w:rsidRDefault="005901FA" w:rsidP="005901FA">
      <w:pPr>
        <w:spacing w:before="120" w:after="120"/>
        <w:jc w:val="both"/>
        <w:rPr>
          <w:rFonts w:ascii="Arial" w:hAnsi="Arial" w:cs="Arial"/>
        </w:rPr>
      </w:pPr>
      <w:r w:rsidRPr="00833BE1">
        <w:rPr>
          <w:rFonts w:ascii="Arial" w:hAnsi="Arial" w:cs="Arial"/>
        </w:rPr>
        <w:t xml:space="preserve">Para el caso de los fondos de </w:t>
      </w:r>
      <w:r w:rsidR="00833BE1" w:rsidRPr="00833BE1">
        <w:rPr>
          <w:rFonts w:ascii="Arial" w:hAnsi="Arial" w:cs="Arial"/>
        </w:rPr>
        <w:t xml:space="preserve">desarrollo de proyectos y fondos de </w:t>
      </w:r>
      <w:r w:rsidRPr="00833BE1">
        <w:rPr>
          <w:rFonts w:ascii="Arial" w:hAnsi="Arial" w:cs="Arial"/>
        </w:rPr>
        <w:t xml:space="preserve">capital de riesgo se deben identificar señales de alerta de los riesgos de LC/FT/FPADM mediante la aplicación de controles y debida diligencia relacionada con </w:t>
      </w:r>
      <w:r w:rsidR="00833BE1" w:rsidRPr="00833BE1">
        <w:rPr>
          <w:rFonts w:ascii="Arial" w:hAnsi="Arial" w:cs="Arial"/>
        </w:rPr>
        <w:t xml:space="preserve">las etapas de: a) </w:t>
      </w:r>
      <w:r w:rsidRPr="00833BE1">
        <w:rPr>
          <w:rFonts w:ascii="Arial" w:hAnsi="Arial" w:cs="Arial"/>
        </w:rPr>
        <w:t xml:space="preserve">ingreso </w:t>
      </w:r>
      <w:r w:rsidR="00833BE1" w:rsidRPr="00833BE1">
        <w:rPr>
          <w:rFonts w:ascii="Arial" w:hAnsi="Arial" w:cs="Arial"/>
        </w:rPr>
        <w:t xml:space="preserve">o adquisición de los proyectos o empresas </w:t>
      </w:r>
      <w:r w:rsidRPr="00833BE1">
        <w:rPr>
          <w:rFonts w:ascii="Arial" w:hAnsi="Arial" w:cs="Arial"/>
        </w:rPr>
        <w:t>promovidas</w:t>
      </w:r>
      <w:r w:rsidR="00833BE1" w:rsidRPr="00833BE1">
        <w:rPr>
          <w:rFonts w:ascii="Arial" w:hAnsi="Arial" w:cs="Arial"/>
        </w:rPr>
        <w:t>, y b) comercialización, venta total o parcial o desinversión del proyecto o empresa.</w:t>
      </w:r>
    </w:p>
    <w:p w14:paraId="5B30A4EB" w14:textId="77777777" w:rsidR="006C7761" w:rsidRPr="003B4405" w:rsidRDefault="006C7761" w:rsidP="00DC12B2">
      <w:pPr>
        <w:spacing w:before="120" w:after="120"/>
        <w:jc w:val="both"/>
        <w:rPr>
          <w:rFonts w:ascii="Arial" w:hAnsi="Arial" w:cs="Arial"/>
          <w:highlight w:val="yellow"/>
        </w:rPr>
      </w:pPr>
    </w:p>
    <w:p w14:paraId="7433B64A" w14:textId="77777777" w:rsidR="00C47776" w:rsidRPr="003B4405" w:rsidRDefault="00C47776" w:rsidP="00DC12B2">
      <w:pPr>
        <w:pStyle w:val="Ttulo2"/>
        <w:spacing w:before="120" w:after="120"/>
        <w:rPr>
          <w:rFonts w:ascii="Arial" w:hAnsi="Arial" w:cs="Arial"/>
          <w:b/>
          <w:bCs/>
          <w:color w:val="auto"/>
          <w:sz w:val="22"/>
          <w:szCs w:val="22"/>
        </w:rPr>
      </w:pPr>
      <w:bookmarkStart w:id="20" w:name="_Toc93484877"/>
      <w:r w:rsidRPr="003B4405">
        <w:rPr>
          <w:rFonts w:ascii="Arial" w:hAnsi="Arial" w:cs="Arial"/>
          <w:b/>
          <w:bCs/>
          <w:color w:val="auto"/>
          <w:sz w:val="22"/>
          <w:szCs w:val="22"/>
        </w:rPr>
        <w:lastRenderedPageBreak/>
        <w:t xml:space="preserve">Artículo </w:t>
      </w:r>
      <w:r w:rsidR="00CE32D6" w:rsidRPr="003B4405">
        <w:rPr>
          <w:rFonts w:ascii="Arial" w:hAnsi="Arial" w:cs="Arial"/>
          <w:b/>
          <w:bCs/>
          <w:color w:val="auto"/>
          <w:sz w:val="22"/>
          <w:szCs w:val="22"/>
        </w:rPr>
        <w:t>1</w:t>
      </w:r>
      <w:r w:rsidR="003E74FF">
        <w:rPr>
          <w:rFonts w:ascii="Arial" w:hAnsi="Arial" w:cs="Arial"/>
          <w:b/>
          <w:bCs/>
          <w:color w:val="auto"/>
          <w:sz w:val="22"/>
          <w:szCs w:val="22"/>
        </w:rPr>
        <w:t>1</w:t>
      </w:r>
      <w:r w:rsidRPr="003B4405">
        <w:rPr>
          <w:rFonts w:ascii="Arial" w:hAnsi="Arial" w:cs="Arial"/>
          <w:b/>
          <w:bCs/>
          <w:color w:val="auto"/>
          <w:sz w:val="22"/>
          <w:szCs w:val="22"/>
        </w:rPr>
        <w:t xml:space="preserve">. </w:t>
      </w:r>
      <w:r w:rsidR="00FC44EE" w:rsidRPr="003B4405">
        <w:rPr>
          <w:rFonts w:ascii="Arial" w:hAnsi="Arial" w:cs="Arial"/>
          <w:b/>
          <w:bCs/>
          <w:color w:val="auto"/>
          <w:sz w:val="22"/>
          <w:szCs w:val="22"/>
        </w:rPr>
        <w:t>E</w:t>
      </w:r>
      <w:r w:rsidRPr="003B4405">
        <w:rPr>
          <w:rFonts w:ascii="Arial" w:hAnsi="Arial" w:cs="Arial"/>
          <w:b/>
          <w:bCs/>
          <w:color w:val="auto"/>
          <w:sz w:val="22"/>
          <w:szCs w:val="22"/>
        </w:rPr>
        <w:t>mpresas extranjeras</w:t>
      </w:r>
      <w:bookmarkEnd w:id="20"/>
    </w:p>
    <w:p w14:paraId="7EE53CCD" w14:textId="77777777" w:rsidR="00C47776" w:rsidRDefault="00C86B9F" w:rsidP="00DC12B2">
      <w:pPr>
        <w:autoSpaceDE w:val="0"/>
        <w:autoSpaceDN w:val="0"/>
        <w:adjustRightInd w:val="0"/>
        <w:spacing w:before="120" w:after="120" w:line="240" w:lineRule="auto"/>
        <w:jc w:val="both"/>
        <w:rPr>
          <w:rFonts w:ascii="Arial" w:hAnsi="Arial" w:cs="Arial"/>
        </w:rPr>
      </w:pPr>
      <w:r>
        <w:rPr>
          <w:rFonts w:ascii="Arial" w:hAnsi="Arial" w:cs="Arial"/>
        </w:rPr>
        <w:t>L</w:t>
      </w:r>
      <w:r w:rsidR="00C47776" w:rsidRPr="003B4405">
        <w:rPr>
          <w:rFonts w:ascii="Arial" w:hAnsi="Arial" w:cs="Arial"/>
        </w:rPr>
        <w:t xml:space="preserve">a identificación de empresas extranjeras que operen en el territorio nacional debe </w:t>
      </w:r>
      <w:r>
        <w:rPr>
          <w:rFonts w:ascii="Arial" w:hAnsi="Arial" w:cs="Arial"/>
        </w:rPr>
        <w:t>contar</w:t>
      </w:r>
      <w:r w:rsidR="00C47776" w:rsidRPr="003B4405">
        <w:rPr>
          <w:rFonts w:ascii="Arial" w:hAnsi="Arial" w:cs="Arial"/>
        </w:rPr>
        <w:t xml:space="preserve"> </w:t>
      </w:r>
      <w:r>
        <w:rPr>
          <w:rFonts w:ascii="Arial" w:hAnsi="Arial" w:cs="Arial"/>
        </w:rPr>
        <w:t xml:space="preserve">con </w:t>
      </w:r>
      <w:r w:rsidR="00C47776" w:rsidRPr="003B4405">
        <w:rPr>
          <w:rFonts w:ascii="Arial" w:hAnsi="Arial" w:cs="Arial"/>
        </w:rPr>
        <w:t>la inscripción ante el Registro Nacional</w:t>
      </w:r>
      <w:r w:rsidR="00397A01">
        <w:rPr>
          <w:rFonts w:ascii="Arial" w:hAnsi="Arial" w:cs="Arial"/>
        </w:rPr>
        <w:t xml:space="preserve"> y</w:t>
      </w:r>
      <w:r w:rsidR="00D95D23">
        <w:rPr>
          <w:rFonts w:ascii="Arial" w:hAnsi="Arial" w:cs="Arial"/>
        </w:rPr>
        <w:t xml:space="preserve"> </w:t>
      </w:r>
      <w:r w:rsidR="00C47776" w:rsidRPr="003B4405">
        <w:rPr>
          <w:rFonts w:ascii="Arial" w:hAnsi="Arial" w:cs="Arial"/>
        </w:rPr>
        <w:t>la Dirección General de Tributación</w:t>
      </w:r>
      <w:r w:rsidR="00397A01">
        <w:rPr>
          <w:rFonts w:ascii="Arial" w:hAnsi="Arial" w:cs="Arial"/>
        </w:rPr>
        <w:t>, así como</w:t>
      </w:r>
      <w:r w:rsidR="00C47776" w:rsidRPr="003B4405">
        <w:rPr>
          <w:rFonts w:ascii="Arial" w:hAnsi="Arial" w:cs="Arial"/>
        </w:rPr>
        <w:t xml:space="preserve"> de</w:t>
      </w:r>
      <w:r w:rsidR="00D95D23">
        <w:rPr>
          <w:rFonts w:ascii="Arial" w:hAnsi="Arial" w:cs="Arial"/>
        </w:rPr>
        <w:t>signar a</w:t>
      </w:r>
      <w:r w:rsidR="00C47776" w:rsidRPr="003B4405">
        <w:rPr>
          <w:rFonts w:ascii="Arial" w:hAnsi="Arial" w:cs="Arial"/>
        </w:rPr>
        <w:t xml:space="preserve"> un representante en Costa Rica o agente residente.</w:t>
      </w:r>
    </w:p>
    <w:p w14:paraId="3B5A717E" w14:textId="77777777" w:rsidR="001C7D24" w:rsidRPr="001C7D24" w:rsidRDefault="00C86B9F" w:rsidP="001C7D24">
      <w:pPr>
        <w:autoSpaceDE w:val="0"/>
        <w:autoSpaceDN w:val="0"/>
        <w:adjustRightInd w:val="0"/>
        <w:spacing w:before="120" w:after="120" w:line="240" w:lineRule="auto"/>
        <w:jc w:val="both"/>
        <w:rPr>
          <w:rFonts w:ascii="Arial" w:hAnsi="Arial" w:cs="Arial"/>
        </w:rPr>
      </w:pPr>
      <w:r>
        <w:rPr>
          <w:rFonts w:ascii="Arial" w:hAnsi="Arial" w:cs="Arial"/>
        </w:rPr>
        <w:t xml:space="preserve">En el caso </w:t>
      </w:r>
      <w:r w:rsidR="00945D88">
        <w:rPr>
          <w:rFonts w:ascii="Arial" w:hAnsi="Arial" w:cs="Arial"/>
        </w:rPr>
        <w:t xml:space="preserve">de empresas extranjeras </w:t>
      </w:r>
      <w:r w:rsidR="003D68EF">
        <w:rPr>
          <w:rFonts w:ascii="Arial" w:hAnsi="Arial" w:cs="Arial"/>
        </w:rPr>
        <w:t>no domiciliadas en Costa Rica</w:t>
      </w:r>
      <w:r w:rsidR="00945D88">
        <w:rPr>
          <w:rFonts w:ascii="Arial" w:hAnsi="Arial" w:cs="Arial"/>
        </w:rPr>
        <w:t xml:space="preserve"> se debe solicitar</w:t>
      </w:r>
      <w:r w:rsidR="00397A01">
        <w:rPr>
          <w:rFonts w:ascii="Arial" w:hAnsi="Arial" w:cs="Arial"/>
        </w:rPr>
        <w:t>,</w:t>
      </w:r>
      <w:r w:rsidR="00945D88">
        <w:rPr>
          <w:rFonts w:ascii="Arial" w:hAnsi="Arial" w:cs="Arial"/>
        </w:rPr>
        <w:t xml:space="preserve"> al menos</w:t>
      </w:r>
      <w:r w:rsidR="00397A01">
        <w:rPr>
          <w:rFonts w:ascii="Arial" w:hAnsi="Arial" w:cs="Arial"/>
        </w:rPr>
        <w:t>,</w:t>
      </w:r>
      <w:r w:rsidR="00945D88">
        <w:rPr>
          <w:rFonts w:ascii="Arial" w:hAnsi="Arial" w:cs="Arial"/>
        </w:rPr>
        <w:t xml:space="preserve"> la información de la personería jurídica y participación representativa del capital social, </w:t>
      </w:r>
      <w:r w:rsidR="00945D88" w:rsidRPr="001C7D24">
        <w:rPr>
          <w:rFonts w:ascii="Arial" w:hAnsi="Arial" w:cs="Arial"/>
        </w:rPr>
        <w:t xml:space="preserve">mediante </w:t>
      </w:r>
      <w:r w:rsidR="001C7D24" w:rsidRPr="001C7D24">
        <w:rPr>
          <w:rFonts w:ascii="Arial" w:hAnsi="Arial" w:cs="Arial"/>
        </w:rPr>
        <w:t>documentos oficiales expedidos en el extranjero que deben acompañarse de certificación consular o de la apostilla. En ese último caso, en la medida que el documento sea legalmente catalogado como público en el país emisor y que este país sea firmante del Convenio de la Apostilla.</w:t>
      </w:r>
    </w:p>
    <w:p w14:paraId="17C0D3B4" w14:textId="77777777" w:rsidR="00C47776" w:rsidRPr="002166DB" w:rsidRDefault="00C47776" w:rsidP="001C7D24">
      <w:pPr>
        <w:widowControl w:val="0"/>
        <w:jc w:val="both"/>
        <w:rPr>
          <w:rFonts w:ascii="Arial" w:hAnsi="Arial" w:cs="Arial"/>
        </w:rPr>
      </w:pPr>
      <w:r w:rsidRPr="003B4405">
        <w:rPr>
          <w:rFonts w:ascii="Arial" w:hAnsi="Arial" w:cs="Arial"/>
        </w:rPr>
        <w:t>Para las empresas extranjeras relacionadas con países de alto riesgo</w:t>
      </w:r>
      <w:r w:rsidR="00397A01">
        <w:rPr>
          <w:rFonts w:ascii="Arial" w:hAnsi="Arial" w:cs="Arial"/>
        </w:rPr>
        <w:t>,</w:t>
      </w:r>
      <w:r w:rsidRPr="003B4405">
        <w:rPr>
          <w:rFonts w:ascii="Arial" w:hAnsi="Arial" w:cs="Arial"/>
        </w:rPr>
        <w:t xml:space="preserve"> el sujeto obligado debe aplicar</w:t>
      </w:r>
      <w:r w:rsidR="00397A01">
        <w:rPr>
          <w:rFonts w:ascii="Arial" w:hAnsi="Arial" w:cs="Arial"/>
        </w:rPr>
        <w:t>,</w:t>
      </w:r>
      <w:r w:rsidRPr="003B4405">
        <w:rPr>
          <w:rFonts w:ascii="Arial" w:hAnsi="Arial" w:cs="Arial"/>
        </w:rPr>
        <w:t xml:space="preserve"> en lo que corresponda</w:t>
      </w:r>
      <w:r w:rsidR="00397A01">
        <w:rPr>
          <w:rFonts w:ascii="Arial" w:hAnsi="Arial" w:cs="Arial"/>
        </w:rPr>
        <w:t>,</w:t>
      </w:r>
      <w:r w:rsidRPr="003B4405">
        <w:rPr>
          <w:rFonts w:ascii="Arial" w:hAnsi="Arial" w:cs="Arial"/>
        </w:rPr>
        <w:t xml:space="preserve"> lo establecido en el artículo 44 del Reglamento para la prevención del riesgo de </w:t>
      </w:r>
      <w:r w:rsidRPr="002166DB">
        <w:rPr>
          <w:rFonts w:ascii="Arial" w:hAnsi="Arial" w:cs="Arial"/>
        </w:rPr>
        <w:t>LC/FT/FPADM.</w:t>
      </w:r>
    </w:p>
    <w:p w14:paraId="5B866D91" w14:textId="77777777" w:rsidR="00C47776" w:rsidRPr="002166DB" w:rsidRDefault="00C47776" w:rsidP="00DC12B2">
      <w:pPr>
        <w:autoSpaceDE w:val="0"/>
        <w:autoSpaceDN w:val="0"/>
        <w:adjustRightInd w:val="0"/>
        <w:spacing w:before="120" w:after="120" w:line="240" w:lineRule="auto"/>
        <w:jc w:val="both"/>
        <w:rPr>
          <w:rFonts w:ascii="Arial" w:hAnsi="Arial" w:cs="Arial"/>
        </w:rPr>
      </w:pPr>
    </w:p>
    <w:p w14:paraId="4F2630F6" w14:textId="77777777" w:rsidR="009745CB" w:rsidRPr="002166DB" w:rsidRDefault="009745CB" w:rsidP="009745CB">
      <w:pPr>
        <w:pStyle w:val="Ttulo2"/>
        <w:spacing w:before="120" w:after="120"/>
        <w:rPr>
          <w:rFonts w:ascii="Arial" w:hAnsi="Arial" w:cs="Arial"/>
          <w:b/>
          <w:bCs/>
          <w:color w:val="auto"/>
          <w:sz w:val="22"/>
          <w:szCs w:val="22"/>
        </w:rPr>
      </w:pPr>
      <w:bookmarkStart w:id="21" w:name="_Toc93484880"/>
      <w:bookmarkStart w:id="22" w:name="_Toc93484879"/>
      <w:r w:rsidRPr="002166DB">
        <w:rPr>
          <w:rFonts w:ascii="Arial" w:hAnsi="Arial" w:cs="Arial"/>
          <w:b/>
          <w:bCs/>
          <w:color w:val="auto"/>
          <w:sz w:val="22"/>
          <w:szCs w:val="22"/>
        </w:rPr>
        <w:t>Artículo 1</w:t>
      </w:r>
      <w:r w:rsidR="005E5435" w:rsidRPr="002166DB">
        <w:rPr>
          <w:rFonts w:ascii="Arial" w:hAnsi="Arial" w:cs="Arial"/>
          <w:b/>
          <w:bCs/>
          <w:color w:val="auto"/>
          <w:sz w:val="22"/>
          <w:szCs w:val="22"/>
        </w:rPr>
        <w:t>2</w:t>
      </w:r>
      <w:r w:rsidRPr="002166DB">
        <w:rPr>
          <w:rFonts w:ascii="Arial" w:hAnsi="Arial" w:cs="Arial"/>
          <w:b/>
          <w:bCs/>
          <w:color w:val="auto"/>
          <w:sz w:val="22"/>
          <w:szCs w:val="22"/>
        </w:rPr>
        <w:t xml:space="preserve">. </w:t>
      </w:r>
      <w:bookmarkEnd w:id="21"/>
      <w:r w:rsidR="00CB5664" w:rsidRPr="002166DB">
        <w:rPr>
          <w:rFonts w:ascii="Arial" w:hAnsi="Arial" w:cs="Arial"/>
          <w:b/>
          <w:bCs/>
          <w:color w:val="auto"/>
          <w:sz w:val="22"/>
          <w:szCs w:val="22"/>
        </w:rPr>
        <w:t>I</w:t>
      </w:r>
      <w:r w:rsidRPr="002166DB">
        <w:rPr>
          <w:rFonts w:ascii="Arial" w:hAnsi="Arial" w:cs="Arial"/>
          <w:b/>
          <w:bCs/>
          <w:color w:val="auto"/>
          <w:sz w:val="22"/>
          <w:szCs w:val="22"/>
        </w:rPr>
        <w:t>nmuebles y transacciones relacionadas</w:t>
      </w:r>
    </w:p>
    <w:p w14:paraId="07312CAE" w14:textId="77777777" w:rsidR="009745CB" w:rsidRPr="00397A01" w:rsidRDefault="009745CB" w:rsidP="009745CB">
      <w:pPr>
        <w:spacing w:before="120" w:after="120"/>
        <w:jc w:val="both"/>
        <w:rPr>
          <w:rFonts w:ascii="Arial" w:hAnsi="Arial" w:cs="Arial"/>
        </w:rPr>
      </w:pPr>
      <w:r w:rsidRPr="002166DB">
        <w:rPr>
          <w:rFonts w:ascii="Arial" w:hAnsi="Arial" w:cs="Arial"/>
        </w:rPr>
        <w:t xml:space="preserve">En el caso de la vinculación de inquilinos </w:t>
      </w:r>
      <w:r w:rsidR="00CB5664" w:rsidRPr="002166DB">
        <w:rPr>
          <w:rFonts w:ascii="Arial" w:hAnsi="Arial" w:cs="Arial"/>
        </w:rPr>
        <w:t xml:space="preserve">que firmen contratos de alquiler por montos mensuales iguales o superiores al umbral definido en el Acuerdo 12-21 para la diligencia debida simplificada, </w:t>
      </w:r>
      <w:r w:rsidRPr="002166DB">
        <w:rPr>
          <w:rFonts w:ascii="Arial" w:hAnsi="Arial" w:cs="Arial"/>
        </w:rPr>
        <w:t>el sujeto obligado debe aplicar, al menos anualmente, un procedimiento que le permita obtener razonable seguridad de las actividades a las que se dedican, así como identificar señales de alerta derivadas en el uso o modificación de sus inmuebles, para lo cual debe existir evidencia documentada</w:t>
      </w:r>
      <w:r w:rsidRPr="00397A01">
        <w:rPr>
          <w:rFonts w:ascii="Arial" w:hAnsi="Arial" w:cs="Arial"/>
        </w:rPr>
        <w:t>.</w:t>
      </w:r>
    </w:p>
    <w:p w14:paraId="048BC47D" w14:textId="77777777" w:rsidR="009745CB" w:rsidRDefault="00FF080A" w:rsidP="004760EF">
      <w:pPr>
        <w:spacing w:before="120" w:after="120"/>
        <w:jc w:val="both"/>
        <w:rPr>
          <w:rFonts w:ascii="Arial" w:hAnsi="Arial" w:cs="Arial"/>
        </w:rPr>
      </w:pPr>
      <w:r>
        <w:rPr>
          <w:rFonts w:ascii="Arial" w:hAnsi="Arial" w:cs="Arial"/>
        </w:rPr>
        <w:t>Además, d</w:t>
      </w:r>
      <w:r w:rsidRPr="003B4405">
        <w:rPr>
          <w:rFonts w:ascii="Arial" w:hAnsi="Arial" w:cs="Arial"/>
        </w:rPr>
        <w:t xml:space="preserve">ebe </w:t>
      </w:r>
      <w:r w:rsidR="009745CB" w:rsidRPr="003B4405">
        <w:rPr>
          <w:rFonts w:ascii="Arial" w:hAnsi="Arial" w:cs="Arial"/>
        </w:rPr>
        <w:t xml:space="preserve">desarrollar un procedimiento </w:t>
      </w:r>
      <w:r w:rsidR="009745CB">
        <w:rPr>
          <w:rFonts w:ascii="Arial" w:hAnsi="Arial" w:cs="Arial"/>
        </w:rPr>
        <w:t>para</w:t>
      </w:r>
      <w:r w:rsidR="009745CB" w:rsidRPr="003B4405">
        <w:rPr>
          <w:rFonts w:ascii="Arial" w:hAnsi="Arial" w:cs="Arial"/>
        </w:rPr>
        <w:t xml:space="preserve"> </w:t>
      </w:r>
      <w:r w:rsidR="009745CB">
        <w:rPr>
          <w:rFonts w:ascii="Arial" w:hAnsi="Arial" w:cs="Arial"/>
        </w:rPr>
        <w:t>monitorear</w:t>
      </w:r>
      <w:r w:rsidR="009745CB" w:rsidRPr="003B4405">
        <w:rPr>
          <w:rFonts w:ascii="Arial" w:hAnsi="Arial" w:cs="Arial"/>
        </w:rPr>
        <w:t xml:space="preserve"> </w:t>
      </w:r>
      <w:r w:rsidR="009745CB">
        <w:rPr>
          <w:rFonts w:ascii="Arial" w:hAnsi="Arial" w:cs="Arial"/>
        </w:rPr>
        <w:t xml:space="preserve">las </w:t>
      </w:r>
      <w:r w:rsidR="009745CB" w:rsidRPr="003B4405">
        <w:rPr>
          <w:rFonts w:ascii="Arial" w:hAnsi="Arial" w:cs="Arial"/>
        </w:rPr>
        <w:t xml:space="preserve">transacciones que impliquen movimientos de fondos, especialmente </w:t>
      </w:r>
      <w:r w:rsidR="009745CB">
        <w:rPr>
          <w:rFonts w:ascii="Arial" w:hAnsi="Arial" w:cs="Arial"/>
        </w:rPr>
        <w:t>aquel</w:t>
      </w:r>
      <w:r w:rsidR="009745CB" w:rsidRPr="003B4405">
        <w:rPr>
          <w:rFonts w:ascii="Arial" w:hAnsi="Arial" w:cs="Arial"/>
        </w:rPr>
        <w:t xml:space="preserve">las realizadas en efectivo o con transferencias internacionales y establecer alertas que permitan identificar aquellas transacciones que realicen las PVFI </w:t>
      </w:r>
      <w:r w:rsidR="009745CB">
        <w:rPr>
          <w:rFonts w:ascii="Arial" w:hAnsi="Arial" w:cs="Arial"/>
        </w:rPr>
        <w:t xml:space="preserve">recurrentes </w:t>
      </w:r>
      <w:r w:rsidR="009745CB" w:rsidRPr="003B4405">
        <w:rPr>
          <w:rFonts w:ascii="Arial" w:hAnsi="Arial" w:cs="Arial"/>
        </w:rPr>
        <w:t xml:space="preserve">que </w:t>
      </w:r>
      <w:r w:rsidR="009745CB">
        <w:rPr>
          <w:rFonts w:ascii="Arial" w:hAnsi="Arial" w:cs="Arial"/>
        </w:rPr>
        <w:t>presenten desviaciones</w:t>
      </w:r>
      <w:r w:rsidR="009745CB" w:rsidRPr="003B4405">
        <w:rPr>
          <w:rFonts w:ascii="Arial" w:hAnsi="Arial" w:cs="Arial"/>
        </w:rPr>
        <w:t xml:space="preserve"> de su comportamiento habitual.</w:t>
      </w:r>
    </w:p>
    <w:p w14:paraId="00FDA882" w14:textId="77777777" w:rsidR="009745CB" w:rsidRPr="003B4405" w:rsidRDefault="009745CB" w:rsidP="009745CB">
      <w:pPr>
        <w:spacing w:before="120" w:after="120"/>
        <w:jc w:val="both"/>
        <w:rPr>
          <w:rFonts w:ascii="Arial" w:hAnsi="Arial" w:cs="Arial"/>
        </w:rPr>
      </w:pPr>
    </w:p>
    <w:p w14:paraId="1E364671" w14:textId="77777777" w:rsidR="003C0675" w:rsidRPr="003B4405" w:rsidRDefault="003C0675" w:rsidP="00DC12B2">
      <w:pPr>
        <w:pStyle w:val="Ttulo2"/>
        <w:spacing w:before="120" w:after="120"/>
        <w:rPr>
          <w:rFonts w:ascii="Arial" w:hAnsi="Arial" w:cs="Arial"/>
          <w:b/>
          <w:bCs/>
          <w:color w:val="auto"/>
          <w:sz w:val="22"/>
          <w:szCs w:val="22"/>
        </w:rPr>
      </w:pPr>
      <w:r w:rsidRPr="003B4405">
        <w:rPr>
          <w:rFonts w:ascii="Arial" w:hAnsi="Arial" w:cs="Arial"/>
          <w:b/>
          <w:bCs/>
          <w:color w:val="auto"/>
          <w:sz w:val="22"/>
          <w:szCs w:val="22"/>
        </w:rPr>
        <w:t xml:space="preserve">Artículo </w:t>
      </w:r>
      <w:r w:rsidR="00CE32D6" w:rsidRPr="003B4405">
        <w:rPr>
          <w:rFonts w:ascii="Arial" w:hAnsi="Arial" w:cs="Arial"/>
          <w:b/>
          <w:bCs/>
          <w:color w:val="auto"/>
          <w:sz w:val="22"/>
          <w:szCs w:val="22"/>
        </w:rPr>
        <w:t>1</w:t>
      </w:r>
      <w:r w:rsidR="004760EF">
        <w:rPr>
          <w:rFonts w:ascii="Arial" w:hAnsi="Arial" w:cs="Arial"/>
          <w:b/>
          <w:bCs/>
          <w:color w:val="auto"/>
          <w:sz w:val="22"/>
          <w:szCs w:val="22"/>
        </w:rPr>
        <w:t>3</w:t>
      </w:r>
      <w:r w:rsidRPr="003B4405">
        <w:rPr>
          <w:rFonts w:ascii="Arial" w:hAnsi="Arial" w:cs="Arial"/>
          <w:b/>
          <w:bCs/>
          <w:color w:val="auto"/>
          <w:sz w:val="22"/>
          <w:szCs w:val="22"/>
        </w:rPr>
        <w:t xml:space="preserve">. </w:t>
      </w:r>
      <w:r w:rsidR="00B73E28" w:rsidRPr="003B4405">
        <w:rPr>
          <w:rFonts w:ascii="Arial" w:hAnsi="Arial" w:cs="Arial"/>
          <w:b/>
          <w:bCs/>
          <w:color w:val="auto"/>
          <w:sz w:val="22"/>
          <w:szCs w:val="22"/>
        </w:rPr>
        <w:t>Mantenimiento de registros</w:t>
      </w:r>
      <w:bookmarkEnd w:id="22"/>
    </w:p>
    <w:p w14:paraId="23390DE8" w14:textId="77777777" w:rsidR="003C0675" w:rsidRPr="003B4405" w:rsidRDefault="00C84B32" w:rsidP="009745CB">
      <w:pPr>
        <w:widowControl w:val="0"/>
        <w:jc w:val="both"/>
        <w:rPr>
          <w:rFonts w:ascii="Arial" w:hAnsi="Arial" w:cs="Arial"/>
        </w:rPr>
      </w:pPr>
      <w:r w:rsidRPr="003B4405">
        <w:rPr>
          <w:rFonts w:ascii="Arial" w:hAnsi="Arial" w:cs="Arial"/>
        </w:rPr>
        <w:t>El sujeto obligado</w:t>
      </w:r>
      <w:r>
        <w:rPr>
          <w:rFonts w:ascii="Arial" w:hAnsi="Arial" w:cs="Arial"/>
        </w:rPr>
        <w:t xml:space="preserve"> debe mantener el expediente con la información de los PVFI a disposición de la Superintendencia y de las autoridades competentes. </w:t>
      </w:r>
      <w:r w:rsidRPr="003B4405">
        <w:rPr>
          <w:rFonts w:ascii="Arial" w:hAnsi="Arial" w:cs="Arial"/>
        </w:rPr>
        <w:t xml:space="preserve">Debe </w:t>
      </w:r>
      <w:r w:rsidR="00101383" w:rsidRPr="003B4405">
        <w:rPr>
          <w:rFonts w:ascii="Arial" w:hAnsi="Arial" w:cs="Arial"/>
        </w:rPr>
        <w:t>aplicar</w:t>
      </w:r>
      <w:r>
        <w:rPr>
          <w:rFonts w:ascii="Arial" w:hAnsi="Arial" w:cs="Arial"/>
        </w:rPr>
        <w:t>,</w:t>
      </w:r>
      <w:r w:rsidR="00101383" w:rsidRPr="003B4405">
        <w:rPr>
          <w:rFonts w:ascii="Arial" w:hAnsi="Arial" w:cs="Arial"/>
        </w:rPr>
        <w:t xml:space="preserve"> en lo </w:t>
      </w:r>
      <w:r w:rsidR="00000885">
        <w:rPr>
          <w:rFonts w:ascii="Arial" w:hAnsi="Arial" w:cs="Arial"/>
        </w:rPr>
        <w:t>referente</w:t>
      </w:r>
      <w:r>
        <w:rPr>
          <w:rFonts w:ascii="Arial" w:hAnsi="Arial" w:cs="Arial"/>
        </w:rPr>
        <w:t xml:space="preserve"> a los plazos de mantenimiento,</w:t>
      </w:r>
      <w:r w:rsidR="00101383" w:rsidRPr="003B4405">
        <w:rPr>
          <w:rFonts w:ascii="Arial" w:hAnsi="Arial" w:cs="Arial"/>
        </w:rPr>
        <w:t xml:space="preserve"> lo establecido en el artículo 38 del Reglamento para la </w:t>
      </w:r>
      <w:r w:rsidR="008E7981" w:rsidRPr="003B4405">
        <w:rPr>
          <w:rFonts w:ascii="Arial" w:hAnsi="Arial" w:cs="Arial"/>
        </w:rPr>
        <w:t>P</w:t>
      </w:r>
      <w:r w:rsidR="00101383" w:rsidRPr="003B4405">
        <w:rPr>
          <w:rFonts w:ascii="Arial" w:hAnsi="Arial" w:cs="Arial"/>
        </w:rPr>
        <w:t>revención del riesgo de LC/FT/FPADM.</w:t>
      </w:r>
    </w:p>
    <w:p w14:paraId="5ED74CBE" w14:textId="77777777" w:rsidR="00603E45" w:rsidRDefault="00603E45" w:rsidP="00DC12B2">
      <w:pPr>
        <w:spacing w:before="120" w:after="120"/>
        <w:jc w:val="both"/>
        <w:rPr>
          <w:rFonts w:ascii="Arial" w:hAnsi="Arial" w:cs="Arial"/>
        </w:rPr>
      </w:pPr>
    </w:p>
    <w:p w14:paraId="04A7F3D9" w14:textId="77777777" w:rsidR="00473310" w:rsidRPr="003B4405" w:rsidRDefault="00473310" w:rsidP="00473310">
      <w:pPr>
        <w:pStyle w:val="Ttulo1"/>
        <w:spacing w:before="120" w:after="120"/>
        <w:jc w:val="center"/>
        <w:rPr>
          <w:rFonts w:ascii="Arial" w:hAnsi="Arial" w:cs="Arial"/>
          <w:b/>
          <w:bCs/>
          <w:color w:val="auto"/>
          <w:sz w:val="22"/>
          <w:szCs w:val="22"/>
        </w:rPr>
      </w:pPr>
      <w:r w:rsidRPr="003B4405">
        <w:rPr>
          <w:rFonts w:ascii="Arial" w:hAnsi="Arial" w:cs="Arial"/>
          <w:b/>
          <w:bCs/>
          <w:color w:val="auto"/>
          <w:sz w:val="22"/>
          <w:szCs w:val="22"/>
        </w:rPr>
        <w:t>CAPÍTULO V</w:t>
      </w:r>
    </w:p>
    <w:p w14:paraId="3A428D52" w14:textId="77777777" w:rsidR="00473310" w:rsidRDefault="00000885" w:rsidP="00473310">
      <w:pPr>
        <w:pStyle w:val="Ttulo1"/>
        <w:spacing w:before="120" w:after="120"/>
        <w:jc w:val="center"/>
        <w:rPr>
          <w:rFonts w:ascii="Arial" w:hAnsi="Arial" w:cs="Arial"/>
          <w:b/>
          <w:bCs/>
          <w:color w:val="auto"/>
          <w:sz w:val="22"/>
          <w:szCs w:val="22"/>
        </w:rPr>
      </w:pPr>
      <w:r>
        <w:rPr>
          <w:rFonts w:ascii="Arial" w:hAnsi="Arial" w:cs="Arial"/>
          <w:b/>
          <w:bCs/>
          <w:color w:val="auto"/>
          <w:sz w:val="22"/>
          <w:szCs w:val="22"/>
        </w:rPr>
        <w:t>REMISIÓN DE INFORMACIÓN</w:t>
      </w:r>
    </w:p>
    <w:p w14:paraId="26345330" w14:textId="77777777" w:rsidR="00C946D3" w:rsidRPr="00C946D3" w:rsidRDefault="00C946D3" w:rsidP="00C946D3"/>
    <w:p w14:paraId="40682E75" w14:textId="77777777" w:rsidR="00473310" w:rsidRPr="003B4405" w:rsidRDefault="00473310" w:rsidP="00473310">
      <w:pPr>
        <w:pStyle w:val="Ttulo2"/>
        <w:spacing w:before="120" w:after="120"/>
        <w:rPr>
          <w:rFonts w:ascii="Arial" w:hAnsi="Arial" w:cs="Arial"/>
          <w:b/>
          <w:bCs/>
          <w:color w:val="auto"/>
          <w:sz w:val="22"/>
          <w:szCs w:val="22"/>
        </w:rPr>
      </w:pPr>
      <w:bookmarkStart w:id="23" w:name="_Toc93484878"/>
      <w:r w:rsidRPr="003B4405">
        <w:rPr>
          <w:rFonts w:ascii="Arial" w:hAnsi="Arial" w:cs="Arial"/>
          <w:b/>
          <w:bCs/>
          <w:color w:val="auto"/>
          <w:sz w:val="22"/>
          <w:szCs w:val="22"/>
        </w:rPr>
        <w:t>Artículo 1</w:t>
      </w:r>
      <w:r w:rsidR="004760EF">
        <w:rPr>
          <w:rFonts w:ascii="Arial" w:hAnsi="Arial" w:cs="Arial"/>
          <w:b/>
          <w:bCs/>
          <w:color w:val="auto"/>
          <w:sz w:val="22"/>
          <w:szCs w:val="22"/>
        </w:rPr>
        <w:t>4</w:t>
      </w:r>
      <w:r w:rsidRPr="003B4405">
        <w:rPr>
          <w:rFonts w:ascii="Arial" w:hAnsi="Arial" w:cs="Arial"/>
          <w:b/>
          <w:bCs/>
          <w:color w:val="auto"/>
          <w:sz w:val="22"/>
          <w:szCs w:val="22"/>
        </w:rPr>
        <w:t xml:space="preserve">. Operaciones en efectivo y mediante transferencias </w:t>
      </w:r>
      <w:bookmarkEnd w:id="23"/>
      <w:r w:rsidR="00693C1D">
        <w:rPr>
          <w:rFonts w:ascii="Arial" w:hAnsi="Arial" w:cs="Arial"/>
          <w:b/>
          <w:bCs/>
          <w:color w:val="auto"/>
          <w:sz w:val="22"/>
          <w:szCs w:val="22"/>
        </w:rPr>
        <w:t>internacionales</w:t>
      </w:r>
    </w:p>
    <w:p w14:paraId="77CB060F" w14:textId="77777777" w:rsidR="00473310" w:rsidRPr="002166DB" w:rsidRDefault="00473310" w:rsidP="004760EF">
      <w:pPr>
        <w:autoSpaceDE w:val="0"/>
        <w:autoSpaceDN w:val="0"/>
        <w:adjustRightInd w:val="0"/>
        <w:spacing w:after="0" w:line="240" w:lineRule="auto"/>
        <w:jc w:val="both"/>
        <w:rPr>
          <w:rFonts w:ascii="Arial" w:hAnsi="Arial" w:cs="Arial"/>
        </w:rPr>
      </w:pPr>
      <w:r w:rsidRPr="003B4405">
        <w:rPr>
          <w:rFonts w:ascii="Arial" w:hAnsi="Arial" w:cs="Arial"/>
        </w:rPr>
        <w:t xml:space="preserve">Para </w:t>
      </w:r>
      <w:r w:rsidRPr="002166DB">
        <w:rPr>
          <w:rFonts w:ascii="Arial" w:hAnsi="Arial" w:cs="Arial"/>
        </w:rPr>
        <w:t xml:space="preserve">aquellos procesos que sean susceptibles de la utilización del efectivo, transferencias internacionales y para todas las cuentas bancarias que se pongan a disposición para recibir </w:t>
      </w:r>
      <w:r w:rsidRPr="002166DB">
        <w:rPr>
          <w:rFonts w:ascii="Arial" w:hAnsi="Arial" w:cs="Arial"/>
        </w:rPr>
        <w:lastRenderedPageBreak/>
        <w:t xml:space="preserve">depósitos, ya sean </w:t>
      </w:r>
      <w:r w:rsidR="00163741" w:rsidRPr="002166DB">
        <w:rPr>
          <w:rFonts w:ascii="Arial" w:hAnsi="Arial" w:cs="Arial"/>
        </w:rPr>
        <w:t xml:space="preserve">cuentas </w:t>
      </w:r>
      <w:r w:rsidRPr="002166DB">
        <w:rPr>
          <w:rFonts w:ascii="Arial" w:hAnsi="Arial" w:cs="Arial"/>
        </w:rPr>
        <w:t>del grupo o conglomerado financiero o de cualquier otra entidad que les brinde servicios bancarios, se deben identificar las transacciones por montos iguales o superiores a los US$10.000,00</w:t>
      </w:r>
      <w:r w:rsidR="00FF080A" w:rsidRPr="002166DB">
        <w:rPr>
          <w:rFonts w:ascii="Arial" w:hAnsi="Arial" w:cs="Arial"/>
        </w:rPr>
        <w:t xml:space="preserve"> (diez mil dólares en la moneda de los Estados Unidos de América) o su equivalente en colones u otras monedas extranjeras</w:t>
      </w:r>
      <w:r w:rsidRPr="002166DB">
        <w:rPr>
          <w:rFonts w:ascii="Arial" w:hAnsi="Arial" w:cs="Arial"/>
        </w:rPr>
        <w:t xml:space="preserve">, únicas o múltiples y realizar los correspondientes reportes de información a la </w:t>
      </w:r>
      <w:r w:rsidR="00CB5664" w:rsidRPr="002166DB">
        <w:rPr>
          <w:rFonts w:ascii="Arial" w:hAnsi="Arial" w:cs="Arial"/>
        </w:rPr>
        <w:t>Sugeval con las mismas características, plazos y medios de remisión de los ROE de los inversionistas.</w:t>
      </w:r>
    </w:p>
    <w:p w14:paraId="42B45932" w14:textId="77777777" w:rsidR="00473310" w:rsidRPr="002166DB" w:rsidRDefault="00473310" w:rsidP="00473310">
      <w:pPr>
        <w:spacing w:before="120" w:after="120"/>
        <w:jc w:val="both"/>
        <w:rPr>
          <w:rFonts w:ascii="Arial" w:hAnsi="Arial" w:cs="Arial"/>
        </w:rPr>
      </w:pPr>
    </w:p>
    <w:p w14:paraId="1BCEB4CC" w14:textId="77777777" w:rsidR="00473310" w:rsidRPr="002166DB" w:rsidRDefault="00473310" w:rsidP="00473310">
      <w:pPr>
        <w:pStyle w:val="Ttulo2"/>
        <w:spacing w:before="120" w:after="120"/>
        <w:jc w:val="both"/>
        <w:rPr>
          <w:rFonts w:ascii="Arial" w:hAnsi="Arial" w:cs="Arial"/>
          <w:b/>
          <w:bCs/>
          <w:color w:val="auto"/>
          <w:sz w:val="22"/>
          <w:szCs w:val="22"/>
        </w:rPr>
      </w:pPr>
      <w:bookmarkStart w:id="24" w:name="_Toc93484881"/>
      <w:r w:rsidRPr="002166DB">
        <w:rPr>
          <w:rFonts w:ascii="Arial" w:hAnsi="Arial" w:cs="Arial"/>
          <w:b/>
          <w:bCs/>
          <w:color w:val="auto"/>
          <w:sz w:val="22"/>
          <w:szCs w:val="22"/>
        </w:rPr>
        <w:t>Artículo 1</w:t>
      </w:r>
      <w:r w:rsidR="004760EF" w:rsidRPr="002166DB">
        <w:rPr>
          <w:rFonts w:ascii="Arial" w:hAnsi="Arial" w:cs="Arial"/>
          <w:b/>
          <w:bCs/>
          <w:color w:val="auto"/>
          <w:sz w:val="22"/>
          <w:szCs w:val="22"/>
        </w:rPr>
        <w:t>5</w:t>
      </w:r>
      <w:r w:rsidRPr="002166DB">
        <w:rPr>
          <w:rFonts w:ascii="Arial" w:hAnsi="Arial" w:cs="Arial"/>
          <w:b/>
          <w:bCs/>
          <w:color w:val="auto"/>
          <w:sz w:val="22"/>
          <w:szCs w:val="22"/>
        </w:rPr>
        <w:t>. Transacciones inusuales, operaciones intentadas o sospechosas</w:t>
      </w:r>
      <w:bookmarkEnd w:id="24"/>
    </w:p>
    <w:p w14:paraId="63FAC395" w14:textId="77777777" w:rsidR="00473310" w:rsidRPr="002166DB" w:rsidRDefault="00473310" w:rsidP="00473310">
      <w:pPr>
        <w:spacing w:before="120" w:after="120"/>
        <w:jc w:val="both"/>
        <w:rPr>
          <w:rFonts w:ascii="Arial" w:hAnsi="Arial" w:cs="Arial"/>
        </w:rPr>
      </w:pPr>
      <w:r w:rsidRPr="002166DB">
        <w:rPr>
          <w:rFonts w:ascii="Arial" w:hAnsi="Arial" w:cs="Arial"/>
        </w:rPr>
        <w:t xml:space="preserve">El sujeto obligado </w:t>
      </w:r>
      <w:r w:rsidR="005931FD" w:rsidRPr="002166DB">
        <w:rPr>
          <w:rFonts w:ascii="Arial" w:hAnsi="Arial" w:cs="Arial"/>
        </w:rPr>
        <w:t>dentro de la relación contractual entre el Fondo y la PVFI</w:t>
      </w:r>
      <w:r w:rsidR="005931FD" w:rsidRPr="002166DB">
        <w:rPr>
          <w:rFonts w:ascii="Arial" w:hAnsi="Arial" w:cs="Arial"/>
          <w:sz w:val="20"/>
          <w:szCs w:val="20"/>
        </w:rPr>
        <w:t xml:space="preserve"> </w:t>
      </w:r>
      <w:r w:rsidRPr="002166DB">
        <w:rPr>
          <w:rFonts w:ascii="Arial" w:hAnsi="Arial" w:cs="Arial"/>
        </w:rPr>
        <w:t>debe aplicar</w:t>
      </w:r>
      <w:r w:rsidR="00000885" w:rsidRPr="002166DB">
        <w:rPr>
          <w:rFonts w:ascii="Arial" w:hAnsi="Arial" w:cs="Arial"/>
        </w:rPr>
        <w:t>,</w:t>
      </w:r>
      <w:r w:rsidRPr="002166DB">
        <w:rPr>
          <w:rFonts w:ascii="Arial" w:hAnsi="Arial" w:cs="Arial"/>
        </w:rPr>
        <w:t xml:space="preserve"> en lo que corresponda</w:t>
      </w:r>
      <w:r w:rsidR="00000885" w:rsidRPr="002166DB">
        <w:rPr>
          <w:rFonts w:ascii="Arial" w:hAnsi="Arial" w:cs="Arial"/>
        </w:rPr>
        <w:t>,</w:t>
      </w:r>
      <w:r w:rsidRPr="002166DB">
        <w:rPr>
          <w:rFonts w:ascii="Arial" w:hAnsi="Arial" w:cs="Arial"/>
        </w:rPr>
        <w:t xml:space="preserve"> lo establecido en el Reglamento reporte de operaciones sospechosas sanciones financieras dirigidas sobre personas o entidades vinculadas al terrorismo, financiamiento al terrorismo, financiamiento de proliferación de armas de destrucción masiva conforme a Resoluciones N° 40018-MP-SP-JP-H-S-RREE y en la sección IV del Reglamento para la Prevención del riesgo de LC/FT/FPADM.</w:t>
      </w:r>
    </w:p>
    <w:p w14:paraId="262E244A" w14:textId="77777777" w:rsidR="00097227" w:rsidRPr="003B4405" w:rsidRDefault="00097227" w:rsidP="00FA0240">
      <w:pPr>
        <w:rPr>
          <w:rFonts w:ascii="Arial" w:hAnsi="Arial" w:cs="Arial"/>
        </w:rPr>
      </w:pPr>
    </w:p>
    <w:p w14:paraId="5332F9B5" w14:textId="77777777" w:rsidR="00C47776" w:rsidRPr="003B4405" w:rsidRDefault="00C47776" w:rsidP="00DC12B2">
      <w:pPr>
        <w:pStyle w:val="Ttulo1"/>
        <w:spacing w:before="120" w:after="120"/>
        <w:jc w:val="center"/>
        <w:rPr>
          <w:rFonts w:ascii="Arial" w:hAnsi="Arial" w:cs="Arial"/>
          <w:b/>
          <w:bCs/>
          <w:color w:val="auto"/>
          <w:sz w:val="22"/>
          <w:szCs w:val="22"/>
        </w:rPr>
      </w:pPr>
      <w:bookmarkStart w:id="25" w:name="_Toc93484882"/>
      <w:r w:rsidRPr="003B4405">
        <w:rPr>
          <w:rFonts w:ascii="Arial" w:hAnsi="Arial" w:cs="Arial"/>
          <w:b/>
          <w:bCs/>
          <w:color w:val="auto"/>
          <w:sz w:val="22"/>
          <w:szCs w:val="22"/>
        </w:rPr>
        <w:t>CAPÍTULO V</w:t>
      </w:r>
      <w:bookmarkEnd w:id="25"/>
      <w:r w:rsidR="00473310">
        <w:rPr>
          <w:rFonts w:ascii="Arial" w:hAnsi="Arial" w:cs="Arial"/>
          <w:b/>
          <w:bCs/>
          <w:color w:val="auto"/>
          <w:sz w:val="22"/>
          <w:szCs w:val="22"/>
        </w:rPr>
        <w:t>I</w:t>
      </w:r>
    </w:p>
    <w:p w14:paraId="65A271E3" w14:textId="77777777" w:rsidR="00C47776" w:rsidRPr="003B4405" w:rsidRDefault="00C47776" w:rsidP="00DC12B2">
      <w:pPr>
        <w:pStyle w:val="Ttulo1"/>
        <w:spacing w:before="120" w:after="120"/>
        <w:jc w:val="center"/>
        <w:rPr>
          <w:rFonts w:ascii="Arial" w:hAnsi="Arial" w:cs="Arial"/>
          <w:b/>
          <w:bCs/>
          <w:color w:val="auto"/>
          <w:sz w:val="22"/>
          <w:szCs w:val="22"/>
        </w:rPr>
      </w:pPr>
      <w:bookmarkStart w:id="26" w:name="_Toc93484883"/>
      <w:r w:rsidRPr="003B4405">
        <w:rPr>
          <w:rFonts w:ascii="Arial" w:hAnsi="Arial" w:cs="Arial"/>
          <w:b/>
          <w:bCs/>
          <w:color w:val="auto"/>
          <w:sz w:val="22"/>
          <w:szCs w:val="22"/>
        </w:rPr>
        <w:t xml:space="preserve">NORMAS RELATIVAS AL </w:t>
      </w:r>
      <w:r w:rsidR="00603E45" w:rsidRPr="003B4405">
        <w:rPr>
          <w:rFonts w:ascii="Arial" w:hAnsi="Arial" w:cs="Arial"/>
          <w:b/>
          <w:bCs/>
          <w:color w:val="auto"/>
          <w:sz w:val="22"/>
          <w:szCs w:val="22"/>
        </w:rPr>
        <w:t>PERSONAL</w:t>
      </w:r>
      <w:bookmarkEnd w:id="26"/>
    </w:p>
    <w:p w14:paraId="23F80934" w14:textId="77777777" w:rsidR="008C73ED" w:rsidRPr="003B4405" w:rsidRDefault="008C73ED" w:rsidP="00DC12B2">
      <w:pPr>
        <w:spacing w:before="120" w:after="120"/>
        <w:jc w:val="both"/>
        <w:rPr>
          <w:rFonts w:ascii="Arial" w:hAnsi="Arial" w:cs="Arial"/>
        </w:rPr>
      </w:pPr>
    </w:p>
    <w:p w14:paraId="7D85CD67" w14:textId="77777777" w:rsidR="00DE1066" w:rsidRPr="003B4405" w:rsidRDefault="00293659" w:rsidP="00DC12B2">
      <w:pPr>
        <w:spacing w:before="120" w:after="120"/>
        <w:jc w:val="both"/>
        <w:rPr>
          <w:rFonts w:ascii="Arial" w:hAnsi="Arial" w:cs="Arial"/>
        </w:rPr>
      </w:pPr>
      <w:r w:rsidRPr="003B4405">
        <w:rPr>
          <w:rFonts w:ascii="Arial" w:hAnsi="Arial" w:cs="Arial"/>
          <w:b/>
          <w:bCs/>
        </w:rPr>
        <w:t xml:space="preserve">Artículo </w:t>
      </w:r>
      <w:r w:rsidR="00CE32D6" w:rsidRPr="003B4405">
        <w:rPr>
          <w:rFonts w:ascii="Arial" w:hAnsi="Arial" w:cs="Arial"/>
          <w:b/>
          <w:bCs/>
        </w:rPr>
        <w:t>1</w:t>
      </w:r>
      <w:r w:rsidR="00FA0240">
        <w:rPr>
          <w:rFonts w:ascii="Arial" w:hAnsi="Arial" w:cs="Arial"/>
          <w:b/>
          <w:bCs/>
        </w:rPr>
        <w:t>6</w:t>
      </w:r>
      <w:r w:rsidRPr="003B4405">
        <w:rPr>
          <w:rFonts w:ascii="Arial" w:hAnsi="Arial" w:cs="Arial"/>
          <w:b/>
          <w:bCs/>
        </w:rPr>
        <w:t xml:space="preserve">. </w:t>
      </w:r>
      <w:r w:rsidR="00DE1066" w:rsidRPr="003B4405">
        <w:rPr>
          <w:rFonts w:ascii="Arial" w:hAnsi="Arial" w:cs="Arial"/>
          <w:b/>
          <w:bCs/>
        </w:rPr>
        <w:t>Programas continuos de capacitación</w:t>
      </w:r>
      <w:r w:rsidR="00DE1066" w:rsidRPr="003B4405">
        <w:rPr>
          <w:rFonts w:ascii="Arial" w:hAnsi="Arial" w:cs="Arial"/>
        </w:rPr>
        <w:t xml:space="preserve"> </w:t>
      </w:r>
    </w:p>
    <w:p w14:paraId="1125ED7E" w14:textId="77777777" w:rsidR="00185728" w:rsidRDefault="00DE1066" w:rsidP="00DC12B2">
      <w:pPr>
        <w:spacing w:before="120" w:after="120"/>
        <w:jc w:val="both"/>
        <w:rPr>
          <w:rFonts w:ascii="Arial" w:hAnsi="Arial" w:cs="Arial"/>
        </w:rPr>
      </w:pPr>
      <w:r w:rsidRPr="003B4405">
        <w:rPr>
          <w:rFonts w:ascii="Arial" w:hAnsi="Arial" w:cs="Arial"/>
        </w:rPr>
        <w:t>L</w:t>
      </w:r>
      <w:r w:rsidR="00293659" w:rsidRPr="003B4405">
        <w:rPr>
          <w:rFonts w:ascii="Arial" w:hAnsi="Arial" w:cs="Arial"/>
        </w:rPr>
        <w:t xml:space="preserve">os sujetos obligados </w:t>
      </w:r>
      <w:r w:rsidRPr="003B4405">
        <w:rPr>
          <w:rFonts w:ascii="Arial" w:hAnsi="Arial" w:cs="Arial"/>
        </w:rPr>
        <w:t>deben definir</w:t>
      </w:r>
      <w:r w:rsidR="00CC748C">
        <w:rPr>
          <w:rFonts w:ascii="Arial" w:hAnsi="Arial" w:cs="Arial"/>
        </w:rPr>
        <w:t>,</w:t>
      </w:r>
      <w:r w:rsidRPr="003B4405">
        <w:rPr>
          <w:rFonts w:ascii="Arial" w:hAnsi="Arial" w:cs="Arial"/>
        </w:rPr>
        <w:t xml:space="preserve"> para </w:t>
      </w:r>
      <w:r w:rsidR="008E7981" w:rsidRPr="003B4405">
        <w:rPr>
          <w:rFonts w:ascii="Arial" w:hAnsi="Arial" w:cs="Arial"/>
        </w:rPr>
        <w:t xml:space="preserve">el personal </w:t>
      </w:r>
      <w:r w:rsidRPr="003B4405">
        <w:rPr>
          <w:rFonts w:ascii="Arial" w:hAnsi="Arial" w:cs="Arial"/>
        </w:rPr>
        <w:t xml:space="preserve">que se encarga de los procesos de </w:t>
      </w:r>
      <w:r w:rsidR="00EA1F98" w:rsidRPr="003B4405">
        <w:rPr>
          <w:rFonts w:ascii="Arial" w:hAnsi="Arial" w:cs="Arial"/>
        </w:rPr>
        <w:t>negocios relacionados con las PVFI</w:t>
      </w:r>
      <w:r w:rsidRPr="003B4405">
        <w:rPr>
          <w:rFonts w:ascii="Arial" w:hAnsi="Arial" w:cs="Arial"/>
        </w:rPr>
        <w:t xml:space="preserve">, </w:t>
      </w:r>
      <w:r w:rsidR="008E7981" w:rsidRPr="003B4405">
        <w:rPr>
          <w:rFonts w:ascii="Arial" w:hAnsi="Arial" w:cs="Arial"/>
        </w:rPr>
        <w:t xml:space="preserve">los </w:t>
      </w:r>
      <w:r w:rsidRPr="003B4405">
        <w:rPr>
          <w:rFonts w:ascii="Arial" w:hAnsi="Arial" w:cs="Arial"/>
        </w:rPr>
        <w:t xml:space="preserve">programas de inducción y capacitación anual </w:t>
      </w:r>
      <w:r w:rsidR="005732C7" w:rsidRPr="003B4405">
        <w:rPr>
          <w:rFonts w:ascii="Arial" w:hAnsi="Arial" w:cs="Arial"/>
        </w:rPr>
        <w:t xml:space="preserve">especializada </w:t>
      </w:r>
      <w:r w:rsidRPr="003B4405">
        <w:rPr>
          <w:rFonts w:ascii="Arial" w:hAnsi="Arial" w:cs="Arial"/>
        </w:rPr>
        <w:t xml:space="preserve">en materia específica de LC/FT/FPADM </w:t>
      </w:r>
      <w:r w:rsidR="00EA1F98" w:rsidRPr="003B4405">
        <w:rPr>
          <w:rFonts w:ascii="Arial" w:hAnsi="Arial" w:cs="Arial"/>
        </w:rPr>
        <w:t xml:space="preserve">enfocada </w:t>
      </w:r>
      <w:r w:rsidRPr="003B4405">
        <w:rPr>
          <w:rFonts w:ascii="Arial" w:hAnsi="Arial" w:cs="Arial"/>
        </w:rPr>
        <w:t xml:space="preserve">para fondos </w:t>
      </w:r>
      <w:r w:rsidR="00D37ABC">
        <w:rPr>
          <w:rFonts w:ascii="Arial" w:hAnsi="Arial" w:cs="Arial"/>
        </w:rPr>
        <w:t>no financieros</w:t>
      </w:r>
      <w:r w:rsidRPr="003B4405">
        <w:rPr>
          <w:rFonts w:ascii="Arial" w:hAnsi="Arial" w:cs="Arial"/>
        </w:rPr>
        <w:t xml:space="preserve">, </w:t>
      </w:r>
      <w:r w:rsidR="00100281">
        <w:rPr>
          <w:rFonts w:ascii="Arial" w:hAnsi="Arial" w:cs="Arial"/>
        </w:rPr>
        <w:t>o</w:t>
      </w:r>
      <w:r w:rsidR="008E7981" w:rsidRPr="003B4405">
        <w:rPr>
          <w:rFonts w:ascii="Arial" w:hAnsi="Arial" w:cs="Arial"/>
        </w:rPr>
        <w:t xml:space="preserve"> </w:t>
      </w:r>
      <w:r w:rsidRPr="003B4405">
        <w:rPr>
          <w:rFonts w:ascii="Arial" w:hAnsi="Arial" w:cs="Arial"/>
        </w:rPr>
        <w:t>fondos de capital de riesgo</w:t>
      </w:r>
      <w:r w:rsidR="00100281">
        <w:rPr>
          <w:rFonts w:ascii="Arial" w:hAnsi="Arial" w:cs="Arial"/>
        </w:rPr>
        <w:t>,</w:t>
      </w:r>
      <w:r w:rsidRPr="003B4405">
        <w:rPr>
          <w:rFonts w:ascii="Arial" w:hAnsi="Arial" w:cs="Arial"/>
        </w:rPr>
        <w:t xml:space="preserve"> incluyendo</w:t>
      </w:r>
      <w:r w:rsidR="00293659" w:rsidRPr="003B4405">
        <w:rPr>
          <w:rFonts w:ascii="Arial" w:hAnsi="Arial" w:cs="Arial"/>
        </w:rPr>
        <w:t xml:space="preserve"> tipologías y señales de alertas</w:t>
      </w:r>
      <w:r w:rsidR="00EA1F98" w:rsidRPr="003B4405">
        <w:rPr>
          <w:rFonts w:ascii="Arial" w:hAnsi="Arial" w:cs="Arial"/>
        </w:rPr>
        <w:t>.</w:t>
      </w:r>
    </w:p>
    <w:p w14:paraId="7714C506" w14:textId="77777777" w:rsidR="00F4723F" w:rsidRPr="003B4405" w:rsidRDefault="00F4723F" w:rsidP="00DC12B2">
      <w:pPr>
        <w:spacing w:before="120" w:after="120"/>
        <w:jc w:val="both"/>
        <w:rPr>
          <w:rFonts w:ascii="Arial" w:hAnsi="Arial" w:cs="Arial"/>
        </w:rPr>
      </w:pPr>
    </w:p>
    <w:p w14:paraId="72D7779B" w14:textId="77777777" w:rsidR="00F4723F" w:rsidRPr="003B4405" w:rsidRDefault="00F4723F" w:rsidP="00F4723F">
      <w:pPr>
        <w:spacing w:before="120" w:after="120"/>
        <w:jc w:val="both"/>
        <w:rPr>
          <w:rFonts w:ascii="Arial" w:hAnsi="Arial" w:cs="Arial"/>
          <w:b/>
          <w:bCs/>
        </w:rPr>
      </w:pPr>
      <w:r w:rsidRPr="003B4405">
        <w:rPr>
          <w:rFonts w:ascii="Arial" w:hAnsi="Arial" w:cs="Arial"/>
          <w:b/>
          <w:bCs/>
        </w:rPr>
        <w:t>Artículo 1</w:t>
      </w:r>
      <w:r>
        <w:rPr>
          <w:rFonts w:ascii="Arial" w:hAnsi="Arial" w:cs="Arial"/>
          <w:b/>
          <w:bCs/>
        </w:rPr>
        <w:t>7</w:t>
      </w:r>
      <w:r w:rsidRPr="003B4405">
        <w:rPr>
          <w:rFonts w:ascii="Arial" w:hAnsi="Arial" w:cs="Arial"/>
          <w:b/>
          <w:bCs/>
        </w:rPr>
        <w:t>. Vigencia</w:t>
      </w:r>
    </w:p>
    <w:p w14:paraId="4F145C09" w14:textId="77777777" w:rsidR="00F4723F" w:rsidRPr="002166DB" w:rsidRDefault="00F4723F" w:rsidP="00F4723F">
      <w:pPr>
        <w:spacing w:before="120" w:after="120"/>
        <w:rPr>
          <w:rFonts w:cstheme="minorHAnsi"/>
          <w:sz w:val="24"/>
          <w:szCs w:val="24"/>
        </w:rPr>
      </w:pPr>
      <w:r w:rsidRPr="002166DB">
        <w:rPr>
          <w:rFonts w:ascii="Arial" w:hAnsi="Arial" w:cs="Arial"/>
        </w:rPr>
        <w:t>El presente acuerdo rige a partir del 1 de noviembre del 2022.</w:t>
      </w:r>
    </w:p>
    <w:p w14:paraId="5B1BA04E" w14:textId="77777777" w:rsidR="00F4723F" w:rsidRDefault="00F4723F" w:rsidP="00DC12B2">
      <w:pPr>
        <w:pStyle w:val="Ttulo2"/>
        <w:spacing w:before="120" w:after="120"/>
        <w:rPr>
          <w:rFonts w:ascii="Arial" w:hAnsi="Arial" w:cs="Arial"/>
          <w:b/>
          <w:bCs/>
          <w:color w:val="auto"/>
          <w:sz w:val="22"/>
          <w:szCs w:val="22"/>
        </w:rPr>
      </w:pPr>
      <w:bookmarkStart w:id="27" w:name="_Toc93484887"/>
    </w:p>
    <w:p w14:paraId="4DE1C4C6" w14:textId="77777777" w:rsidR="005E15EC" w:rsidRDefault="005E15EC" w:rsidP="00DC12B2">
      <w:pPr>
        <w:pStyle w:val="Ttulo2"/>
        <w:spacing w:before="120" w:after="120"/>
        <w:rPr>
          <w:rFonts w:ascii="Arial" w:hAnsi="Arial" w:cs="Arial"/>
          <w:b/>
          <w:bCs/>
          <w:color w:val="auto"/>
          <w:sz w:val="22"/>
          <w:szCs w:val="22"/>
        </w:rPr>
      </w:pPr>
      <w:r>
        <w:rPr>
          <w:rFonts w:ascii="Arial" w:hAnsi="Arial" w:cs="Arial"/>
          <w:b/>
          <w:bCs/>
          <w:color w:val="auto"/>
          <w:sz w:val="22"/>
          <w:szCs w:val="22"/>
        </w:rPr>
        <w:t>Transitorio</w:t>
      </w:r>
    </w:p>
    <w:p w14:paraId="6946C41B" w14:textId="77777777" w:rsidR="00526C9B" w:rsidRDefault="00526C9B" w:rsidP="00526C9B">
      <w:pPr>
        <w:jc w:val="both"/>
        <w:rPr>
          <w:rFonts w:ascii="Arial" w:eastAsiaTheme="majorEastAsia" w:hAnsi="Arial" w:cs="Arial"/>
        </w:rPr>
      </w:pPr>
      <w:r w:rsidRPr="00526C9B">
        <w:rPr>
          <w:rFonts w:ascii="Arial" w:eastAsiaTheme="majorEastAsia" w:hAnsi="Arial" w:cs="Arial"/>
        </w:rPr>
        <w:t xml:space="preserve">Las sociedades administradoras de fondos de inversión que manejan fondos </w:t>
      </w:r>
      <w:r w:rsidR="00C354D1">
        <w:rPr>
          <w:rFonts w:ascii="Arial" w:eastAsiaTheme="majorEastAsia" w:hAnsi="Arial" w:cs="Arial"/>
        </w:rPr>
        <w:t>no financieros o</w:t>
      </w:r>
      <w:r w:rsidRPr="00526C9B">
        <w:rPr>
          <w:rFonts w:ascii="Arial" w:eastAsiaTheme="majorEastAsia" w:hAnsi="Arial" w:cs="Arial"/>
        </w:rPr>
        <w:t xml:space="preserve"> fondos de capital de riesgo autorizados por la </w:t>
      </w:r>
      <w:r w:rsidR="00C354D1" w:rsidRPr="00526C9B">
        <w:rPr>
          <w:rFonts w:ascii="Arial" w:eastAsiaTheme="majorEastAsia" w:hAnsi="Arial" w:cs="Arial"/>
        </w:rPr>
        <w:t>Sugeval</w:t>
      </w:r>
      <w:r>
        <w:rPr>
          <w:rFonts w:ascii="Arial" w:eastAsiaTheme="majorEastAsia" w:hAnsi="Arial" w:cs="Arial"/>
        </w:rPr>
        <w:t xml:space="preserve"> </w:t>
      </w:r>
      <w:r w:rsidR="007560E0">
        <w:rPr>
          <w:rFonts w:ascii="Arial" w:eastAsiaTheme="majorEastAsia" w:hAnsi="Arial" w:cs="Arial"/>
        </w:rPr>
        <w:t>tiene</w:t>
      </w:r>
      <w:r>
        <w:rPr>
          <w:rFonts w:ascii="Arial" w:eastAsiaTheme="majorEastAsia" w:hAnsi="Arial" w:cs="Arial"/>
        </w:rPr>
        <w:t xml:space="preserve"> 6 meses a partir de la entrada en vigencia del presente </w:t>
      </w:r>
      <w:r w:rsidRPr="00FA0240">
        <w:rPr>
          <w:rFonts w:ascii="Arial" w:eastAsiaTheme="majorEastAsia" w:hAnsi="Arial" w:cs="Arial"/>
        </w:rPr>
        <w:t>lineamiento</w:t>
      </w:r>
      <w:r w:rsidR="007560E0">
        <w:rPr>
          <w:rFonts w:ascii="Arial" w:eastAsiaTheme="majorEastAsia" w:hAnsi="Arial" w:cs="Arial"/>
        </w:rPr>
        <w:t>,</w:t>
      </w:r>
      <w:r w:rsidR="00184EB8" w:rsidRPr="00FA0240">
        <w:rPr>
          <w:rFonts w:ascii="Arial" w:eastAsiaTheme="majorEastAsia" w:hAnsi="Arial" w:cs="Arial"/>
        </w:rPr>
        <w:t xml:space="preserve"> para </w:t>
      </w:r>
      <w:r w:rsidR="00FA0240" w:rsidRPr="00FA0240">
        <w:rPr>
          <w:rFonts w:ascii="Arial" w:eastAsiaTheme="majorEastAsia" w:hAnsi="Arial" w:cs="Arial"/>
        </w:rPr>
        <w:t>actualizar sus políticas y procedimientos en atención a lo aquí dispuesto</w:t>
      </w:r>
      <w:r w:rsidR="00C354D1" w:rsidRPr="00FA0240">
        <w:rPr>
          <w:rFonts w:ascii="Arial" w:eastAsiaTheme="majorEastAsia" w:hAnsi="Arial" w:cs="Arial"/>
        </w:rPr>
        <w:t xml:space="preserve">. </w:t>
      </w:r>
      <w:r w:rsidR="00AC6430" w:rsidRPr="00FA0240">
        <w:rPr>
          <w:rFonts w:ascii="Arial" w:eastAsiaTheme="majorEastAsia" w:hAnsi="Arial" w:cs="Arial"/>
        </w:rPr>
        <w:t>El plaz</w:t>
      </w:r>
      <w:r w:rsidR="00AC6430" w:rsidRPr="00AC6430">
        <w:rPr>
          <w:rFonts w:ascii="Arial" w:eastAsiaTheme="majorEastAsia" w:hAnsi="Arial" w:cs="Arial"/>
        </w:rPr>
        <w:t xml:space="preserve">o establecido en este transitorio puede ser prorrogado por el Superintendente hasta </w:t>
      </w:r>
      <w:r w:rsidR="00FA0240">
        <w:rPr>
          <w:rFonts w:ascii="Arial" w:eastAsiaTheme="majorEastAsia" w:hAnsi="Arial" w:cs="Arial"/>
        </w:rPr>
        <w:t>en una mitad más</w:t>
      </w:r>
      <w:r w:rsidR="00AC6430" w:rsidRPr="00AC6430">
        <w:rPr>
          <w:rFonts w:ascii="Arial" w:eastAsiaTheme="majorEastAsia" w:hAnsi="Arial" w:cs="Arial"/>
        </w:rPr>
        <w:t>, siempre y cuando la sociedad solicite la prórroga en forma justificada, con anterioridad al vencimiento del plazo original.</w:t>
      </w:r>
    </w:p>
    <w:bookmarkEnd w:id="27"/>
    <w:sectPr w:rsidR="00526C9B" w:rsidSect="003D2270">
      <w:headerReference w:type="even" r:id="rId8"/>
      <w:headerReference w:type="default" r:id="rId9"/>
      <w:footerReference w:type="even" r:id="rId10"/>
      <w:footerReference w:type="default" r:id="rId11"/>
      <w:headerReference w:type="first" r:id="rId12"/>
      <w:footerReference w:type="first" r:id="rId13"/>
      <w:pgSz w:w="12240" w:h="15840"/>
      <w:pgMar w:top="1276"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21E4" w14:textId="77777777" w:rsidR="001F6471" w:rsidRDefault="001F6471" w:rsidP="00351467">
      <w:pPr>
        <w:spacing w:after="0" w:line="240" w:lineRule="auto"/>
      </w:pPr>
      <w:r>
        <w:separator/>
      </w:r>
    </w:p>
  </w:endnote>
  <w:endnote w:type="continuationSeparator" w:id="0">
    <w:p w14:paraId="378FD618" w14:textId="77777777" w:rsidR="001F6471" w:rsidRDefault="001F6471" w:rsidP="0035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972C" w14:textId="77777777" w:rsidR="003D2270" w:rsidRDefault="003D22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F6AF" w14:textId="77777777" w:rsidR="003D2270" w:rsidRPr="003D2270" w:rsidRDefault="003D2270" w:rsidP="003D2270">
    <w:pPr>
      <w:pBdr>
        <w:top w:val="single" w:sz="4" w:space="1" w:color="D9D9D9"/>
      </w:pBdr>
      <w:tabs>
        <w:tab w:val="center" w:pos="4419"/>
        <w:tab w:val="right" w:pos="8838"/>
      </w:tabs>
      <w:spacing w:after="0" w:line="240" w:lineRule="auto"/>
      <w:rPr>
        <w:rFonts w:ascii="Arial" w:eastAsia="Times New Roman" w:hAnsi="Arial" w:cs="Arial"/>
        <w:b/>
        <w:bCs/>
        <w:color w:val="1B75BB"/>
        <w:szCs w:val="24"/>
        <w:lang w:val="es-ES" w:eastAsia="es-ES"/>
      </w:rPr>
    </w:pPr>
    <w:r w:rsidRPr="003D2270">
      <w:rPr>
        <w:rFonts w:ascii="Arial" w:eastAsia="Times New Roman" w:hAnsi="Arial" w:cs="Arial"/>
        <w:b/>
        <w:bCs/>
        <w:color w:val="1B75BB"/>
        <w:szCs w:val="24"/>
        <w:lang w:val="es-ES" w:eastAsia="es-ES"/>
      </w:rPr>
      <w:fldChar w:fldCharType="begin"/>
    </w:r>
    <w:r w:rsidRPr="003D2270">
      <w:rPr>
        <w:rFonts w:ascii="Arial" w:eastAsia="Times New Roman" w:hAnsi="Arial" w:cs="Arial"/>
        <w:b/>
        <w:bCs/>
        <w:color w:val="1B75BB"/>
        <w:szCs w:val="24"/>
        <w:lang w:val="es-ES" w:eastAsia="es-ES"/>
      </w:rPr>
      <w:instrText xml:space="preserve"> PAGE   \* MERGEFORMAT </w:instrText>
    </w:r>
    <w:r w:rsidRPr="003D2270">
      <w:rPr>
        <w:rFonts w:ascii="Arial" w:eastAsia="Times New Roman" w:hAnsi="Arial" w:cs="Arial"/>
        <w:b/>
        <w:bCs/>
        <w:color w:val="1B75BB"/>
        <w:szCs w:val="24"/>
        <w:lang w:val="es-ES" w:eastAsia="es-ES"/>
      </w:rPr>
      <w:fldChar w:fldCharType="separate"/>
    </w:r>
    <w:r w:rsidRPr="003D2270">
      <w:rPr>
        <w:rFonts w:ascii="Arial" w:eastAsia="Times New Roman" w:hAnsi="Arial" w:cs="Arial"/>
        <w:b/>
        <w:bCs/>
        <w:color w:val="1B75BB"/>
        <w:szCs w:val="24"/>
        <w:lang w:val="es-ES" w:eastAsia="es-ES"/>
      </w:rPr>
      <w:t>2</w:t>
    </w:r>
    <w:r w:rsidRPr="003D2270">
      <w:rPr>
        <w:rFonts w:ascii="Arial" w:eastAsia="Times New Roman" w:hAnsi="Arial" w:cs="Arial"/>
        <w:b/>
        <w:bCs/>
        <w:noProof/>
        <w:color w:val="1B75BB"/>
        <w:szCs w:val="24"/>
        <w:lang w:val="es-ES" w:eastAsia="es-ES"/>
      </w:rPr>
      <w:fldChar w:fldCharType="end"/>
    </w:r>
    <w:r w:rsidRPr="003D2270">
      <w:rPr>
        <w:rFonts w:ascii="Arial" w:eastAsia="Times New Roman" w:hAnsi="Arial" w:cs="Arial"/>
        <w:b/>
        <w:bCs/>
        <w:color w:val="1B75BB"/>
        <w:szCs w:val="24"/>
        <w:lang w:val="es-ES" w:eastAsia="es-ES"/>
      </w:rPr>
      <w:t xml:space="preserve"> | </w:t>
    </w:r>
  </w:p>
  <w:p w14:paraId="1773384F" w14:textId="63AA045A" w:rsidR="003D2270" w:rsidRDefault="003D2270" w:rsidP="003D2270">
    <w:pPr>
      <w:pStyle w:val="Piedepgina"/>
      <w:tabs>
        <w:tab w:val="clear" w:pos="4419"/>
        <w:tab w:val="clear" w:pos="8838"/>
        <w:tab w:val="left" w:pos="67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9A49" w14:textId="77777777" w:rsidR="003D2270" w:rsidRDefault="003D22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5D02" w14:textId="77777777" w:rsidR="001F6471" w:rsidRDefault="001F6471" w:rsidP="00351467">
      <w:pPr>
        <w:spacing w:after="0" w:line="240" w:lineRule="auto"/>
      </w:pPr>
      <w:r>
        <w:separator/>
      </w:r>
    </w:p>
  </w:footnote>
  <w:footnote w:type="continuationSeparator" w:id="0">
    <w:p w14:paraId="503F50B1" w14:textId="77777777" w:rsidR="001F6471" w:rsidRDefault="001F6471" w:rsidP="00351467">
      <w:pPr>
        <w:spacing w:after="0" w:line="240" w:lineRule="auto"/>
      </w:pPr>
      <w:r>
        <w:continuationSeparator/>
      </w:r>
    </w:p>
  </w:footnote>
  <w:footnote w:id="1">
    <w:p w14:paraId="06F7CD99" w14:textId="498450FE" w:rsidR="003D2270" w:rsidRPr="003D2270" w:rsidRDefault="003D2270" w:rsidP="003D2270">
      <w:pPr>
        <w:jc w:val="both"/>
        <w:rPr>
          <w:rFonts w:ascii="Arial" w:hAnsi="Arial" w:cs="Arial"/>
          <w:lang w:val="es-MX"/>
        </w:rPr>
      </w:pPr>
      <w:r w:rsidRPr="003D2270">
        <w:rPr>
          <w:rStyle w:val="Refdenotaalpie"/>
          <w:rFonts w:ascii="Arial" w:hAnsi="Arial" w:cs="Arial"/>
        </w:rPr>
        <w:footnoteRef/>
      </w:r>
      <w:r w:rsidRPr="003D2270">
        <w:rPr>
          <w:rFonts w:ascii="Arial" w:hAnsi="Arial" w:cs="Arial"/>
        </w:rPr>
        <w:t xml:space="preserve"> </w:t>
      </w:r>
      <w:r w:rsidRPr="003D2270">
        <w:rPr>
          <w:rFonts w:ascii="Arial" w:hAnsi="Arial" w:cs="Arial"/>
          <w:sz w:val="20"/>
          <w:szCs w:val="20"/>
          <w:lang w:val="es-MX"/>
        </w:rPr>
        <w:t>SGV-A-270.  Superintendencia General de Valores.  Despacho de la Superintendente.  A las nueve horas del ocho de agosto del dos mil veintidós.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E13C" w14:textId="77777777" w:rsidR="003D2270" w:rsidRDefault="003D22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20"/>
        <w:szCs w:val="20"/>
      </w:rPr>
    </w:sdtEndPr>
    <w:sdtContent>
      <w:p w14:paraId="5ACB09AC" w14:textId="53129967" w:rsidR="007D390C" w:rsidRPr="007D390C" w:rsidRDefault="003D2270" w:rsidP="003D2270">
        <w:pPr>
          <w:pStyle w:val="Encabezado"/>
          <w:jc w:val="right"/>
          <w:rPr>
            <w:rFonts w:ascii="Arial" w:hAnsi="Arial" w:cs="Arial"/>
            <w:sz w:val="20"/>
            <w:szCs w:val="20"/>
          </w:rPr>
        </w:pPr>
        <w:r>
          <w:rPr>
            <w:rFonts w:ascii="Calibri" w:hAnsi="Calibri" w:cs="Arial"/>
            <w:i/>
            <w:noProof/>
            <w:sz w:val="20"/>
            <w:szCs w:val="20"/>
            <w:lang w:eastAsia="es-CR"/>
          </w:rPr>
          <w:drawing>
            <wp:inline distT="0" distB="0" distL="0" distR="0" wp14:anchorId="46BABCA3" wp14:editId="04E39EE5">
              <wp:extent cx="1555750" cy="368300"/>
              <wp:effectExtent l="0" t="0" r="6350" b="0"/>
              <wp:docPr id="2" name="Imagen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3A3EFD00" w14:textId="7E8DAD48" w:rsidR="007D390C" w:rsidRPr="007D390C" w:rsidRDefault="003D2270">
        <w:pPr>
          <w:pStyle w:val="Encabezado"/>
          <w:rPr>
            <w:rFonts w:ascii="Arial" w:hAnsi="Arial" w:cs="Arial"/>
            <w:sz w:val="20"/>
            <w:szCs w:val="20"/>
          </w:rPr>
        </w:pPr>
        <w:r>
          <w:rPr>
            <w:noProof/>
          </w:rPr>
          <mc:AlternateContent>
            <mc:Choice Requires="wps">
              <w:drawing>
                <wp:anchor distT="4294967292" distB="4294967292" distL="114300" distR="114300" simplePos="0" relativeHeight="251659264" behindDoc="0" locked="0" layoutInCell="1" allowOverlap="1" wp14:anchorId="194D637C" wp14:editId="6CA3D186">
                  <wp:simplePos x="0" y="0"/>
                  <wp:positionH relativeFrom="margin">
                    <wp:posOffset>-38100</wp:posOffset>
                  </wp:positionH>
                  <wp:positionV relativeFrom="paragraph">
                    <wp:posOffset>120015</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94A2" id="Conector recto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pt,9.45pt" to="4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" strokecolor="#1b75bb" strokeweight="1.5pt">
                  <w10:wrap anchorx="margin"/>
                </v:line>
              </w:pict>
            </mc:Fallback>
          </mc:AlternateContent>
        </w:r>
      </w:p>
    </w:sdtContent>
  </w:sdt>
  <w:p w14:paraId="1D7CC9F6" w14:textId="77777777" w:rsidR="007D390C" w:rsidRDefault="007D39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5F52" w14:textId="77777777" w:rsidR="003D2270" w:rsidRDefault="003D22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A0C"/>
    <w:multiLevelType w:val="hybridMultilevel"/>
    <w:tmpl w:val="AB22CBF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76EF"/>
    <w:multiLevelType w:val="hybridMultilevel"/>
    <w:tmpl w:val="E466C4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337E3E"/>
    <w:multiLevelType w:val="hybridMultilevel"/>
    <w:tmpl w:val="4C9089A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875AD"/>
    <w:multiLevelType w:val="hybridMultilevel"/>
    <w:tmpl w:val="87368CD6"/>
    <w:lvl w:ilvl="0" w:tplc="140A0001">
      <w:start w:val="1"/>
      <w:numFmt w:val="bullet"/>
      <w:lvlText w:val=""/>
      <w:lvlJc w:val="left"/>
      <w:pPr>
        <w:ind w:left="1500" w:hanging="360"/>
      </w:pPr>
      <w:rPr>
        <w:rFonts w:ascii="Symbol" w:hAnsi="Symbol" w:hint="default"/>
      </w:rPr>
    </w:lvl>
    <w:lvl w:ilvl="1" w:tplc="140A0003" w:tentative="1">
      <w:start w:val="1"/>
      <w:numFmt w:val="bullet"/>
      <w:lvlText w:val="o"/>
      <w:lvlJc w:val="left"/>
      <w:pPr>
        <w:ind w:left="2220" w:hanging="360"/>
      </w:pPr>
      <w:rPr>
        <w:rFonts w:ascii="Courier New" w:hAnsi="Courier New" w:cs="Courier New" w:hint="default"/>
      </w:rPr>
    </w:lvl>
    <w:lvl w:ilvl="2" w:tplc="140A0005" w:tentative="1">
      <w:start w:val="1"/>
      <w:numFmt w:val="bullet"/>
      <w:lvlText w:val=""/>
      <w:lvlJc w:val="left"/>
      <w:pPr>
        <w:ind w:left="2940" w:hanging="360"/>
      </w:pPr>
      <w:rPr>
        <w:rFonts w:ascii="Wingdings" w:hAnsi="Wingdings" w:hint="default"/>
      </w:rPr>
    </w:lvl>
    <w:lvl w:ilvl="3" w:tplc="140A0001" w:tentative="1">
      <w:start w:val="1"/>
      <w:numFmt w:val="bullet"/>
      <w:lvlText w:val=""/>
      <w:lvlJc w:val="left"/>
      <w:pPr>
        <w:ind w:left="3660" w:hanging="360"/>
      </w:pPr>
      <w:rPr>
        <w:rFonts w:ascii="Symbol" w:hAnsi="Symbol" w:hint="default"/>
      </w:rPr>
    </w:lvl>
    <w:lvl w:ilvl="4" w:tplc="140A0003" w:tentative="1">
      <w:start w:val="1"/>
      <w:numFmt w:val="bullet"/>
      <w:lvlText w:val="o"/>
      <w:lvlJc w:val="left"/>
      <w:pPr>
        <w:ind w:left="4380" w:hanging="360"/>
      </w:pPr>
      <w:rPr>
        <w:rFonts w:ascii="Courier New" w:hAnsi="Courier New" w:cs="Courier New" w:hint="default"/>
      </w:rPr>
    </w:lvl>
    <w:lvl w:ilvl="5" w:tplc="140A0005" w:tentative="1">
      <w:start w:val="1"/>
      <w:numFmt w:val="bullet"/>
      <w:lvlText w:val=""/>
      <w:lvlJc w:val="left"/>
      <w:pPr>
        <w:ind w:left="5100" w:hanging="360"/>
      </w:pPr>
      <w:rPr>
        <w:rFonts w:ascii="Wingdings" w:hAnsi="Wingdings" w:hint="default"/>
      </w:rPr>
    </w:lvl>
    <w:lvl w:ilvl="6" w:tplc="140A0001" w:tentative="1">
      <w:start w:val="1"/>
      <w:numFmt w:val="bullet"/>
      <w:lvlText w:val=""/>
      <w:lvlJc w:val="left"/>
      <w:pPr>
        <w:ind w:left="5820" w:hanging="360"/>
      </w:pPr>
      <w:rPr>
        <w:rFonts w:ascii="Symbol" w:hAnsi="Symbol" w:hint="default"/>
      </w:rPr>
    </w:lvl>
    <w:lvl w:ilvl="7" w:tplc="140A0003" w:tentative="1">
      <w:start w:val="1"/>
      <w:numFmt w:val="bullet"/>
      <w:lvlText w:val="o"/>
      <w:lvlJc w:val="left"/>
      <w:pPr>
        <w:ind w:left="6540" w:hanging="360"/>
      </w:pPr>
      <w:rPr>
        <w:rFonts w:ascii="Courier New" w:hAnsi="Courier New" w:cs="Courier New" w:hint="default"/>
      </w:rPr>
    </w:lvl>
    <w:lvl w:ilvl="8" w:tplc="140A0005" w:tentative="1">
      <w:start w:val="1"/>
      <w:numFmt w:val="bullet"/>
      <w:lvlText w:val=""/>
      <w:lvlJc w:val="left"/>
      <w:pPr>
        <w:ind w:left="7260" w:hanging="360"/>
      </w:pPr>
      <w:rPr>
        <w:rFonts w:ascii="Wingdings" w:hAnsi="Wingdings" w:hint="default"/>
      </w:rPr>
    </w:lvl>
  </w:abstractNum>
  <w:abstractNum w:abstractNumId="4" w15:restartNumberingAfterBreak="0">
    <w:nsid w:val="1E695329"/>
    <w:multiLevelType w:val="hybridMultilevel"/>
    <w:tmpl w:val="2F58C326"/>
    <w:lvl w:ilvl="0" w:tplc="7898EB3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4F80670"/>
    <w:multiLevelType w:val="hybridMultilevel"/>
    <w:tmpl w:val="B1441D26"/>
    <w:lvl w:ilvl="0" w:tplc="7DAA82B8">
      <w:start w:val="1"/>
      <w:numFmt w:val="low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72C0865"/>
    <w:multiLevelType w:val="hybridMultilevel"/>
    <w:tmpl w:val="D0E0A7A0"/>
    <w:lvl w:ilvl="0" w:tplc="3014E60A">
      <w:start w:val="1"/>
      <w:numFmt w:val="lowerLetter"/>
      <w:lvlText w:val="%1)"/>
      <w:lvlJc w:val="left"/>
      <w:pPr>
        <w:ind w:left="1080" w:hanging="360"/>
      </w:pPr>
      <w:rPr>
        <w:rFonts w:ascii="Times New Roman" w:eastAsiaTheme="minorHAnsi" w:hAnsi="Times New Roman" w:cs="Times New Roman"/>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2927793D"/>
    <w:multiLevelType w:val="hybridMultilevel"/>
    <w:tmpl w:val="CB9A75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5ED7B2D"/>
    <w:multiLevelType w:val="hybridMultilevel"/>
    <w:tmpl w:val="748A5B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607605C"/>
    <w:multiLevelType w:val="hybridMultilevel"/>
    <w:tmpl w:val="C81C6A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A59230E"/>
    <w:multiLevelType w:val="hybridMultilevel"/>
    <w:tmpl w:val="4C9089A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BBC6589"/>
    <w:multiLevelType w:val="hybridMultilevel"/>
    <w:tmpl w:val="80BC2B4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0D85A37"/>
    <w:multiLevelType w:val="hybridMultilevel"/>
    <w:tmpl w:val="D0340D8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CE833DA"/>
    <w:multiLevelType w:val="hybridMultilevel"/>
    <w:tmpl w:val="A19C6390"/>
    <w:lvl w:ilvl="0" w:tplc="140A0013">
      <w:start w:val="1"/>
      <w:numFmt w:val="upperRoman"/>
      <w:lvlText w:val="%1."/>
      <w:lvlJc w:val="righ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D5A30E4"/>
    <w:multiLevelType w:val="hybridMultilevel"/>
    <w:tmpl w:val="D0340D8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E9A22EA"/>
    <w:multiLevelType w:val="hybridMultilevel"/>
    <w:tmpl w:val="5B7658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62A4A7A"/>
    <w:multiLevelType w:val="hybridMultilevel"/>
    <w:tmpl w:val="F90278D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AB2327D"/>
    <w:multiLevelType w:val="hybridMultilevel"/>
    <w:tmpl w:val="2F58C326"/>
    <w:lvl w:ilvl="0" w:tplc="7898EB3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FE94A13"/>
    <w:multiLevelType w:val="hybridMultilevel"/>
    <w:tmpl w:val="D07823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B33206"/>
    <w:multiLevelType w:val="hybridMultilevel"/>
    <w:tmpl w:val="84A08AC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69BE5B41"/>
    <w:multiLevelType w:val="hybridMultilevel"/>
    <w:tmpl w:val="4B406B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9F2445E"/>
    <w:multiLevelType w:val="hybridMultilevel"/>
    <w:tmpl w:val="67DE20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CAD7DD7"/>
    <w:multiLevelType w:val="hybridMultilevel"/>
    <w:tmpl w:val="F3C43454"/>
    <w:lvl w:ilvl="0" w:tplc="140A0001">
      <w:start w:val="1"/>
      <w:numFmt w:val="bullet"/>
      <w:lvlText w:val=""/>
      <w:lvlJc w:val="left"/>
      <w:pPr>
        <w:ind w:left="1500" w:hanging="360"/>
      </w:pPr>
      <w:rPr>
        <w:rFonts w:ascii="Symbol" w:hAnsi="Symbol" w:hint="default"/>
      </w:rPr>
    </w:lvl>
    <w:lvl w:ilvl="1" w:tplc="140A0003" w:tentative="1">
      <w:start w:val="1"/>
      <w:numFmt w:val="bullet"/>
      <w:lvlText w:val="o"/>
      <w:lvlJc w:val="left"/>
      <w:pPr>
        <w:ind w:left="2220" w:hanging="360"/>
      </w:pPr>
      <w:rPr>
        <w:rFonts w:ascii="Courier New" w:hAnsi="Courier New" w:cs="Courier New" w:hint="default"/>
      </w:rPr>
    </w:lvl>
    <w:lvl w:ilvl="2" w:tplc="140A0005" w:tentative="1">
      <w:start w:val="1"/>
      <w:numFmt w:val="bullet"/>
      <w:lvlText w:val=""/>
      <w:lvlJc w:val="left"/>
      <w:pPr>
        <w:ind w:left="2940" w:hanging="360"/>
      </w:pPr>
      <w:rPr>
        <w:rFonts w:ascii="Wingdings" w:hAnsi="Wingdings" w:hint="default"/>
      </w:rPr>
    </w:lvl>
    <w:lvl w:ilvl="3" w:tplc="140A0001" w:tentative="1">
      <w:start w:val="1"/>
      <w:numFmt w:val="bullet"/>
      <w:lvlText w:val=""/>
      <w:lvlJc w:val="left"/>
      <w:pPr>
        <w:ind w:left="3660" w:hanging="360"/>
      </w:pPr>
      <w:rPr>
        <w:rFonts w:ascii="Symbol" w:hAnsi="Symbol" w:hint="default"/>
      </w:rPr>
    </w:lvl>
    <w:lvl w:ilvl="4" w:tplc="140A0003" w:tentative="1">
      <w:start w:val="1"/>
      <w:numFmt w:val="bullet"/>
      <w:lvlText w:val="o"/>
      <w:lvlJc w:val="left"/>
      <w:pPr>
        <w:ind w:left="4380" w:hanging="360"/>
      </w:pPr>
      <w:rPr>
        <w:rFonts w:ascii="Courier New" w:hAnsi="Courier New" w:cs="Courier New" w:hint="default"/>
      </w:rPr>
    </w:lvl>
    <w:lvl w:ilvl="5" w:tplc="140A0005" w:tentative="1">
      <w:start w:val="1"/>
      <w:numFmt w:val="bullet"/>
      <w:lvlText w:val=""/>
      <w:lvlJc w:val="left"/>
      <w:pPr>
        <w:ind w:left="5100" w:hanging="360"/>
      </w:pPr>
      <w:rPr>
        <w:rFonts w:ascii="Wingdings" w:hAnsi="Wingdings" w:hint="default"/>
      </w:rPr>
    </w:lvl>
    <w:lvl w:ilvl="6" w:tplc="140A0001" w:tentative="1">
      <w:start w:val="1"/>
      <w:numFmt w:val="bullet"/>
      <w:lvlText w:val=""/>
      <w:lvlJc w:val="left"/>
      <w:pPr>
        <w:ind w:left="5820" w:hanging="360"/>
      </w:pPr>
      <w:rPr>
        <w:rFonts w:ascii="Symbol" w:hAnsi="Symbol" w:hint="default"/>
      </w:rPr>
    </w:lvl>
    <w:lvl w:ilvl="7" w:tplc="140A0003" w:tentative="1">
      <w:start w:val="1"/>
      <w:numFmt w:val="bullet"/>
      <w:lvlText w:val="o"/>
      <w:lvlJc w:val="left"/>
      <w:pPr>
        <w:ind w:left="6540" w:hanging="360"/>
      </w:pPr>
      <w:rPr>
        <w:rFonts w:ascii="Courier New" w:hAnsi="Courier New" w:cs="Courier New" w:hint="default"/>
      </w:rPr>
    </w:lvl>
    <w:lvl w:ilvl="8" w:tplc="140A0005" w:tentative="1">
      <w:start w:val="1"/>
      <w:numFmt w:val="bullet"/>
      <w:lvlText w:val=""/>
      <w:lvlJc w:val="left"/>
      <w:pPr>
        <w:ind w:left="7260" w:hanging="360"/>
      </w:pPr>
      <w:rPr>
        <w:rFonts w:ascii="Wingdings" w:hAnsi="Wingdings" w:hint="default"/>
      </w:rPr>
    </w:lvl>
  </w:abstractNum>
  <w:abstractNum w:abstractNumId="23" w15:restartNumberingAfterBreak="0">
    <w:nsid w:val="75516819"/>
    <w:multiLevelType w:val="multilevel"/>
    <w:tmpl w:val="4218091C"/>
    <w:lvl w:ilvl="0">
      <w:start w:val="1"/>
      <w:numFmt w:val="decimal"/>
      <w:lvlText w:val="Artículo %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D4F1EA4"/>
    <w:multiLevelType w:val="hybridMultilevel"/>
    <w:tmpl w:val="58A65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E8C0A1E"/>
    <w:multiLevelType w:val="hybridMultilevel"/>
    <w:tmpl w:val="C9DC7A3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16"/>
  </w:num>
  <w:num w:numId="3">
    <w:abstractNumId w:val="12"/>
  </w:num>
  <w:num w:numId="4">
    <w:abstractNumId w:val="8"/>
  </w:num>
  <w:num w:numId="5">
    <w:abstractNumId w:val="7"/>
  </w:num>
  <w:num w:numId="6">
    <w:abstractNumId w:val="24"/>
  </w:num>
  <w:num w:numId="7">
    <w:abstractNumId w:val="1"/>
  </w:num>
  <w:num w:numId="8">
    <w:abstractNumId w:val="15"/>
  </w:num>
  <w:num w:numId="9">
    <w:abstractNumId w:val="14"/>
  </w:num>
  <w:num w:numId="10">
    <w:abstractNumId w:val="20"/>
  </w:num>
  <w:num w:numId="11">
    <w:abstractNumId w:val="9"/>
  </w:num>
  <w:num w:numId="12">
    <w:abstractNumId w:val="21"/>
  </w:num>
  <w:num w:numId="13">
    <w:abstractNumId w:val="13"/>
  </w:num>
  <w:num w:numId="14">
    <w:abstractNumId w:val="17"/>
  </w:num>
  <w:num w:numId="15">
    <w:abstractNumId w:val="4"/>
  </w:num>
  <w:num w:numId="16">
    <w:abstractNumId w:val="13"/>
  </w:num>
  <w:num w:numId="17">
    <w:abstractNumId w:val="23"/>
  </w:num>
  <w:num w:numId="18">
    <w:abstractNumId w:val="5"/>
  </w:num>
  <w:num w:numId="19">
    <w:abstractNumId w:val="18"/>
  </w:num>
  <w:num w:numId="20">
    <w:abstractNumId w:val="22"/>
  </w:num>
  <w:num w:numId="21">
    <w:abstractNumId w:val="3"/>
  </w:num>
  <w:num w:numId="22">
    <w:abstractNumId w:val="2"/>
  </w:num>
  <w:num w:numId="23">
    <w:abstractNumId w:val="11"/>
  </w:num>
  <w:num w:numId="24">
    <w:abstractNumId w:val="25"/>
  </w:num>
  <w:num w:numId="25">
    <w:abstractNumId w:val="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67"/>
    <w:rsid w:val="00000885"/>
    <w:rsid w:val="0000597D"/>
    <w:rsid w:val="00031BF0"/>
    <w:rsid w:val="000320D9"/>
    <w:rsid w:val="0003762E"/>
    <w:rsid w:val="00041755"/>
    <w:rsid w:val="000468A2"/>
    <w:rsid w:val="00076EF2"/>
    <w:rsid w:val="00082623"/>
    <w:rsid w:val="00087587"/>
    <w:rsid w:val="000957F3"/>
    <w:rsid w:val="00097227"/>
    <w:rsid w:val="000B20C5"/>
    <w:rsid w:val="000B35A1"/>
    <w:rsid w:val="000B4C41"/>
    <w:rsid w:val="000B7F27"/>
    <w:rsid w:val="000C4553"/>
    <w:rsid w:val="000D4F47"/>
    <w:rsid w:val="000E2219"/>
    <w:rsid w:val="000E2825"/>
    <w:rsid w:val="000E4DE0"/>
    <w:rsid w:val="000F74C2"/>
    <w:rsid w:val="000F7691"/>
    <w:rsid w:val="00100281"/>
    <w:rsid w:val="00101383"/>
    <w:rsid w:val="00105C09"/>
    <w:rsid w:val="0012257A"/>
    <w:rsid w:val="00130BC1"/>
    <w:rsid w:val="00137ECD"/>
    <w:rsid w:val="0014615F"/>
    <w:rsid w:val="00152014"/>
    <w:rsid w:val="00163741"/>
    <w:rsid w:val="001641B7"/>
    <w:rsid w:val="00183734"/>
    <w:rsid w:val="00184EB8"/>
    <w:rsid w:val="00185728"/>
    <w:rsid w:val="00186B10"/>
    <w:rsid w:val="00191682"/>
    <w:rsid w:val="001B4E14"/>
    <w:rsid w:val="001B5B26"/>
    <w:rsid w:val="001C5744"/>
    <w:rsid w:val="001C600A"/>
    <w:rsid w:val="001C7D24"/>
    <w:rsid w:val="001E1616"/>
    <w:rsid w:val="001F6249"/>
    <w:rsid w:val="001F6471"/>
    <w:rsid w:val="002166DB"/>
    <w:rsid w:val="00234425"/>
    <w:rsid w:val="00237586"/>
    <w:rsid w:val="00246B23"/>
    <w:rsid w:val="00250492"/>
    <w:rsid w:val="00274A9C"/>
    <w:rsid w:val="00293659"/>
    <w:rsid w:val="002A330A"/>
    <w:rsid w:val="002A3423"/>
    <w:rsid w:val="002C0424"/>
    <w:rsid w:val="002D2815"/>
    <w:rsid w:val="002E73D6"/>
    <w:rsid w:val="002F3EBC"/>
    <w:rsid w:val="002F4799"/>
    <w:rsid w:val="00317781"/>
    <w:rsid w:val="003210F6"/>
    <w:rsid w:val="00325DAC"/>
    <w:rsid w:val="003345D9"/>
    <w:rsid w:val="00351467"/>
    <w:rsid w:val="00351788"/>
    <w:rsid w:val="00356462"/>
    <w:rsid w:val="003725D7"/>
    <w:rsid w:val="0037445B"/>
    <w:rsid w:val="00374B65"/>
    <w:rsid w:val="00390CB4"/>
    <w:rsid w:val="00391208"/>
    <w:rsid w:val="003933BE"/>
    <w:rsid w:val="003937D8"/>
    <w:rsid w:val="00397A01"/>
    <w:rsid w:val="003B3FA5"/>
    <w:rsid w:val="003B4405"/>
    <w:rsid w:val="003C0675"/>
    <w:rsid w:val="003C6EF1"/>
    <w:rsid w:val="003D2270"/>
    <w:rsid w:val="003D68EF"/>
    <w:rsid w:val="003E74FF"/>
    <w:rsid w:val="003F197E"/>
    <w:rsid w:val="004058F1"/>
    <w:rsid w:val="00412B57"/>
    <w:rsid w:val="00412EDA"/>
    <w:rsid w:val="00426AA3"/>
    <w:rsid w:val="004348BD"/>
    <w:rsid w:val="0043613B"/>
    <w:rsid w:val="00443A91"/>
    <w:rsid w:val="004609C2"/>
    <w:rsid w:val="00463DE7"/>
    <w:rsid w:val="00464B14"/>
    <w:rsid w:val="00473310"/>
    <w:rsid w:val="0047379C"/>
    <w:rsid w:val="004760EF"/>
    <w:rsid w:val="004764DD"/>
    <w:rsid w:val="00483F34"/>
    <w:rsid w:val="00491C9A"/>
    <w:rsid w:val="004954CB"/>
    <w:rsid w:val="004A254A"/>
    <w:rsid w:val="004A2890"/>
    <w:rsid w:val="004A4409"/>
    <w:rsid w:val="004C0F2A"/>
    <w:rsid w:val="004C4BDD"/>
    <w:rsid w:val="004C6F38"/>
    <w:rsid w:val="004E307C"/>
    <w:rsid w:val="004F0FD9"/>
    <w:rsid w:val="00505545"/>
    <w:rsid w:val="00507D3E"/>
    <w:rsid w:val="00515117"/>
    <w:rsid w:val="00526C9B"/>
    <w:rsid w:val="00530B74"/>
    <w:rsid w:val="00533AEC"/>
    <w:rsid w:val="00534E4E"/>
    <w:rsid w:val="005431C3"/>
    <w:rsid w:val="00552615"/>
    <w:rsid w:val="0055606F"/>
    <w:rsid w:val="00561111"/>
    <w:rsid w:val="005732C7"/>
    <w:rsid w:val="005901FA"/>
    <w:rsid w:val="005931FD"/>
    <w:rsid w:val="00593C8F"/>
    <w:rsid w:val="005E15EC"/>
    <w:rsid w:val="005E5435"/>
    <w:rsid w:val="005E763F"/>
    <w:rsid w:val="005E7EEE"/>
    <w:rsid w:val="00603E45"/>
    <w:rsid w:val="00606081"/>
    <w:rsid w:val="00610A0B"/>
    <w:rsid w:val="00622549"/>
    <w:rsid w:val="006241D1"/>
    <w:rsid w:val="00624C70"/>
    <w:rsid w:val="00630C94"/>
    <w:rsid w:val="0063109E"/>
    <w:rsid w:val="0063227B"/>
    <w:rsid w:val="00640D0F"/>
    <w:rsid w:val="0065218F"/>
    <w:rsid w:val="006856C0"/>
    <w:rsid w:val="00687113"/>
    <w:rsid w:val="006875A0"/>
    <w:rsid w:val="00693C1D"/>
    <w:rsid w:val="0069747B"/>
    <w:rsid w:val="006A1A7F"/>
    <w:rsid w:val="006B1ADA"/>
    <w:rsid w:val="006C0614"/>
    <w:rsid w:val="006C7761"/>
    <w:rsid w:val="006D5609"/>
    <w:rsid w:val="006E4839"/>
    <w:rsid w:val="007053AD"/>
    <w:rsid w:val="00721B25"/>
    <w:rsid w:val="007276EE"/>
    <w:rsid w:val="0073570A"/>
    <w:rsid w:val="00736852"/>
    <w:rsid w:val="0074005F"/>
    <w:rsid w:val="00745BA3"/>
    <w:rsid w:val="007560E0"/>
    <w:rsid w:val="007625D9"/>
    <w:rsid w:val="007649D9"/>
    <w:rsid w:val="007733B9"/>
    <w:rsid w:val="00785FD3"/>
    <w:rsid w:val="007860E5"/>
    <w:rsid w:val="00791AB8"/>
    <w:rsid w:val="007A0376"/>
    <w:rsid w:val="007C0B01"/>
    <w:rsid w:val="007D390C"/>
    <w:rsid w:val="007E738F"/>
    <w:rsid w:val="007F0846"/>
    <w:rsid w:val="00800D66"/>
    <w:rsid w:val="0080641F"/>
    <w:rsid w:val="00833BE1"/>
    <w:rsid w:val="00841448"/>
    <w:rsid w:val="00851FE4"/>
    <w:rsid w:val="008534BD"/>
    <w:rsid w:val="0088029A"/>
    <w:rsid w:val="00880608"/>
    <w:rsid w:val="00880969"/>
    <w:rsid w:val="00885446"/>
    <w:rsid w:val="008A3AC2"/>
    <w:rsid w:val="008A7AE6"/>
    <w:rsid w:val="008C3670"/>
    <w:rsid w:val="008C42A7"/>
    <w:rsid w:val="008C7115"/>
    <w:rsid w:val="008C73ED"/>
    <w:rsid w:val="008D66C6"/>
    <w:rsid w:val="008E32BB"/>
    <w:rsid w:val="008E7981"/>
    <w:rsid w:val="008F0A17"/>
    <w:rsid w:val="008F0DA2"/>
    <w:rsid w:val="0090635D"/>
    <w:rsid w:val="00906F6C"/>
    <w:rsid w:val="00912FDA"/>
    <w:rsid w:val="00925899"/>
    <w:rsid w:val="0092781B"/>
    <w:rsid w:val="00944506"/>
    <w:rsid w:val="00945D88"/>
    <w:rsid w:val="00966FE6"/>
    <w:rsid w:val="009671E5"/>
    <w:rsid w:val="009745CB"/>
    <w:rsid w:val="00991D0E"/>
    <w:rsid w:val="00995ECA"/>
    <w:rsid w:val="009A2342"/>
    <w:rsid w:val="009B2A9B"/>
    <w:rsid w:val="009D026A"/>
    <w:rsid w:val="009D03D8"/>
    <w:rsid w:val="009D0BFD"/>
    <w:rsid w:val="00A07134"/>
    <w:rsid w:val="00A20C27"/>
    <w:rsid w:val="00A24709"/>
    <w:rsid w:val="00A24896"/>
    <w:rsid w:val="00A25E85"/>
    <w:rsid w:val="00A269EC"/>
    <w:rsid w:val="00A62BFA"/>
    <w:rsid w:val="00A6303F"/>
    <w:rsid w:val="00A74FCE"/>
    <w:rsid w:val="00A840A9"/>
    <w:rsid w:val="00A86470"/>
    <w:rsid w:val="00A935C2"/>
    <w:rsid w:val="00A96A83"/>
    <w:rsid w:val="00AA486F"/>
    <w:rsid w:val="00AB62CB"/>
    <w:rsid w:val="00AC2C7C"/>
    <w:rsid w:val="00AC6430"/>
    <w:rsid w:val="00AE715D"/>
    <w:rsid w:val="00AF69E0"/>
    <w:rsid w:val="00B1205D"/>
    <w:rsid w:val="00B154BF"/>
    <w:rsid w:val="00B15689"/>
    <w:rsid w:val="00B2183E"/>
    <w:rsid w:val="00B24B8B"/>
    <w:rsid w:val="00B311A9"/>
    <w:rsid w:val="00B3704F"/>
    <w:rsid w:val="00B409A0"/>
    <w:rsid w:val="00B44558"/>
    <w:rsid w:val="00B47A1A"/>
    <w:rsid w:val="00B524E9"/>
    <w:rsid w:val="00B73E28"/>
    <w:rsid w:val="00B75EA0"/>
    <w:rsid w:val="00B810F4"/>
    <w:rsid w:val="00B83F4B"/>
    <w:rsid w:val="00B85D8A"/>
    <w:rsid w:val="00B90492"/>
    <w:rsid w:val="00B91589"/>
    <w:rsid w:val="00BB0405"/>
    <w:rsid w:val="00C06EE1"/>
    <w:rsid w:val="00C21B5A"/>
    <w:rsid w:val="00C30370"/>
    <w:rsid w:val="00C354D1"/>
    <w:rsid w:val="00C367EC"/>
    <w:rsid w:val="00C41B79"/>
    <w:rsid w:val="00C4679F"/>
    <w:rsid w:val="00C47776"/>
    <w:rsid w:val="00C608FB"/>
    <w:rsid w:val="00C76E90"/>
    <w:rsid w:val="00C843D8"/>
    <w:rsid w:val="00C84B32"/>
    <w:rsid w:val="00C86594"/>
    <w:rsid w:val="00C86B9F"/>
    <w:rsid w:val="00C946D3"/>
    <w:rsid w:val="00CA0470"/>
    <w:rsid w:val="00CA1342"/>
    <w:rsid w:val="00CA546F"/>
    <w:rsid w:val="00CA6B5F"/>
    <w:rsid w:val="00CB5664"/>
    <w:rsid w:val="00CC39C7"/>
    <w:rsid w:val="00CC5A13"/>
    <w:rsid w:val="00CC748C"/>
    <w:rsid w:val="00CD5395"/>
    <w:rsid w:val="00CE32D6"/>
    <w:rsid w:val="00D1715A"/>
    <w:rsid w:val="00D30F2E"/>
    <w:rsid w:val="00D3604B"/>
    <w:rsid w:val="00D37ABC"/>
    <w:rsid w:val="00D447C4"/>
    <w:rsid w:val="00D50B86"/>
    <w:rsid w:val="00D6102F"/>
    <w:rsid w:val="00D676A7"/>
    <w:rsid w:val="00D77BF3"/>
    <w:rsid w:val="00D805B5"/>
    <w:rsid w:val="00D95D23"/>
    <w:rsid w:val="00DA3B7D"/>
    <w:rsid w:val="00DA4A0D"/>
    <w:rsid w:val="00DC12B2"/>
    <w:rsid w:val="00DC2B37"/>
    <w:rsid w:val="00DD0C93"/>
    <w:rsid w:val="00DE1066"/>
    <w:rsid w:val="00DF0BFC"/>
    <w:rsid w:val="00E14B4C"/>
    <w:rsid w:val="00E40A63"/>
    <w:rsid w:val="00E40F22"/>
    <w:rsid w:val="00E665B5"/>
    <w:rsid w:val="00E703EB"/>
    <w:rsid w:val="00E75293"/>
    <w:rsid w:val="00E80DE5"/>
    <w:rsid w:val="00E82E82"/>
    <w:rsid w:val="00E85345"/>
    <w:rsid w:val="00E96DC8"/>
    <w:rsid w:val="00EA1F98"/>
    <w:rsid w:val="00EB0228"/>
    <w:rsid w:val="00EB4253"/>
    <w:rsid w:val="00ED095D"/>
    <w:rsid w:val="00EE6813"/>
    <w:rsid w:val="00F02275"/>
    <w:rsid w:val="00F05EB2"/>
    <w:rsid w:val="00F176CA"/>
    <w:rsid w:val="00F3097D"/>
    <w:rsid w:val="00F41343"/>
    <w:rsid w:val="00F41658"/>
    <w:rsid w:val="00F456F3"/>
    <w:rsid w:val="00F47020"/>
    <w:rsid w:val="00F4723F"/>
    <w:rsid w:val="00F604D4"/>
    <w:rsid w:val="00F66CF1"/>
    <w:rsid w:val="00FA0240"/>
    <w:rsid w:val="00FA090C"/>
    <w:rsid w:val="00FA0BC3"/>
    <w:rsid w:val="00FA0CE7"/>
    <w:rsid w:val="00FA1D91"/>
    <w:rsid w:val="00FC44EE"/>
    <w:rsid w:val="00FC7FF0"/>
    <w:rsid w:val="00FD431B"/>
    <w:rsid w:val="00FD5C36"/>
    <w:rsid w:val="00FD7080"/>
    <w:rsid w:val="00FE70A0"/>
    <w:rsid w:val="00FF080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F42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EB2"/>
  </w:style>
  <w:style w:type="paragraph" w:styleId="Ttulo1">
    <w:name w:val="heading 1"/>
    <w:basedOn w:val="Normal"/>
    <w:next w:val="Normal"/>
    <w:link w:val="Ttulo1Car"/>
    <w:uiPriority w:val="9"/>
    <w:qFormat/>
    <w:rsid w:val="004E30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E3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154BF"/>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076E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6EF2"/>
    <w:rPr>
      <w:sz w:val="20"/>
      <w:szCs w:val="20"/>
    </w:rPr>
  </w:style>
  <w:style w:type="character" w:styleId="Refdenotaalpie">
    <w:name w:val="footnote reference"/>
    <w:basedOn w:val="Fuentedeprrafopredeter"/>
    <w:uiPriority w:val="99"/>
    <w:semiHidden/>
    <w:unhideWhenUsed/>
    <w:rsid w:val="00076EF2"/>
    <w:rPr>
      <w:vertAlign w:val="superscript"/>
    </w:rPr>
  </w:style>
  <w:style w:type="paragraph" w:styleId="Prrafodelista">
    <w:name w:val="List Paragraph"/>
    <w:basedOn w:val="Normal"/>
    <w:uiPriority w:val="34"/>
    <w:qFormat/>
    <w:rsid w:val="00076EF2"/>
    <w:pPr>
      <w:ind w:left="720"/>
      <w:contextualSpacing/>
    </w:pPr>
  </w:style>
  <w:style w:type="character" w:styleId="Refdecomentario">
    <w:name w:val="annotation reference"/>
    <w:basedOn w:val="Fuentedeprrafopredeter"/>
    <w:uiPriority w:val="99"/>
    <w:semiHidden/>
    <w:unhideWhenUsed/>
    <w:rsid w:val="008C3670"/>
    <w:rPr>
      <w:sz w:val="16"/>
      <w:szCs w:val="16"/>
    </w:rPr>
  </w:style>
  <w:style w:type="paragraph" w:styleId="Textocomentario">
    <w:name w:val="annotation text"/>
    <w:basedOn w:val="Normal"/>
    <w:link w:val="TextocomentarioCar"/>
    <w:uiPriority w:val="99"/>
    <w:semiHidden/>
    <w:unhideWhenUsed/>
    <w:rsid w:val="008C36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3670"/>
    <w:rPr>
      <w:sz w:val="20"/>
      <w:szCs w:val="20"/>
    </w:rPr>
  </w:style>
  <w:style w:type="paragraph" w:styleId="Asuntodelcomentario">
    <w:name w:val="annotation subject"/>
    <w:basedOn w:val="Textocomentario"/>
    <w:next w:val="Textocomentario"/>
    <w:link w:val="AsuntodelcomentarioCar"/>
    <w:uiPriority w:val="99"/>
    <w:semiHidden/>
    <w:unhideWhenUsed/>
    <w:rsid w:val="008C3670"/>
    <w:rPr>
      <w:b/>
      <w:bCs/>
    </w:rPr>
  </w:style>
  <w:style w:type="character" w:customStyle="1" w:styleId="AsuntodelcomentarioCar">
    <w:name w:val="Asunto del comentario Car"/>
    <w:basedOn w:val="TextocomentarioCar"/>
    <w:link w:val="Asuntodelcomentario"/>
    <w:uiPriority w:val="99"/>
    <w:semiHidden/>
    <w:rsid w:val="008C3670"/>
    <w:rPr>
      <w:b/>
      <w:bCs/>
      <w:sz w:val="20"/>
      <w:szCs w:val="20"/>
    </w:rPr>
  </w:style>
  <w:style w:type="paragraph" w:styleId="Textodeglobo">
    <w:name w:val="Balloon Text"/>
    <w:basedOn w:val="Normal"/>
    <w:link w:val="TextodegloboCar"/>
    <w:uiPriority w:val="99"/>
    <w:semiHidden/>
    <w:unhideWhenUsed/>
    <w:rsid w:val="008C36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670"/>
    <w:rPr>
      <w:rFonts w:ascii="Segoe UI" w:hAnsi="Segoe UI" w:cs="Segoe UI"/>
      <w:sz w:val="18"/>
      <w:szCs w:val="18"/>
    </w:rPr>
  </w:style>
  <w:style w:type="paragraph" w:styleId="TDC2">
    <w:name w:val="toc 2"/>
    <w:basedOn w:val="Normal"/>
    <w:next w:val="Normal"/>
    <w:autoRedefine/>
    <w:uiPriority w:val="39"/>
    <w:unhideWhenUsed/>
    <w:rsid w:val="00130BC1"/>
    <w:pPr>
      <w:spacing w:after="0" w:line="240" w:lineRule="auto"/>
      <w:ind w:left="200"/>
    </w:pPr>
    <w:rPr>
      <w:rFonts w:ascii="Times New Roman" w:eastAsia="Times New Roman" w:hAnsi="Times New Roman" w:cs="Times New Roman"/>
      <w:sz w:val="20"/>
      <w:szCs w:val="20"/>
      <w:lang w:val="es-ES" w:eastAsia="es-ES"/>
    </w:rPr>
  </w:style>
  <w:style w:type="character" w:styleId="Hipervnculo">
    <w:name w:val="Hyperlink"/>
    <w:uiPriority w:val="99"/>
    <w:unhideWhenUsed/>
    <w:rsid w:val="00130BC1"/>
    <w:rPr>
      <w:color w:val="0563C1"/>
      <w:u w:val="single"/>
    </w:rPr>
  </w:style>
  <w:style w:type="paragraph" w:styleId="TDC1">
    <w:name w:val="toc 1"/>
    <w:basedOn w:val="Normal"/>
    <w:next w:val="Normal"/>
    <w:autoRedefine/>
    <w:uiPriority w:val="39"/>
    <w:unhideWhenUsed/>
    <w:rsid w:val="00130BC1"/>
    <w:pPr>
      <w:tabs>
        <w:tab w:val="right" w:leader="dot" w:pos="9350"/>
      </w:tabs>
      <w:spacing w:after="0" w:line="240" w:lineRule="auto"/>
    </w:pPr>
    <w:rPr>
      <w:rFonts w:ascii="Arial" w:eastAsia="Times New Roman" w:hAnsi="Arial" w:cs="Arial"/>
      <w:b/>
      <w:noProof/>
      <w:sz w:val="20"/>
      <w:szCs w:val="20"/>
      <w:lang w:eastAsia="es-ES"/>
    </w:rPr>
  </w:style>
  <w:style w:type="character" w:styleId="Hipervnculovisitado">
    <w:name w:val="FollowedHyperlink"/>
    <w:basedOn w:val="Fuentedeprrafopredeter"/>
    <w:uiPriority w:val="99"/>
    <w:semiHidden/>
    <w:unhideWhenUsed/>
    <w:rsid w:val="00130BC1"/>
    <w:rPr>
      <w:color w:val="954F72" w:themeColor="followedHyperlink"/>
      <w:u w:val="single"/>
    </w:rPr>
  </w:style>
  <w:style w:type="character" w:customStyle="1" w:styleId="Ttulo1Car">
    <w:name w:val="Título 1 Car"/>
    <w:basedOn w:val="Fuentedeprrafopredeter"/>
    <w:link w:val="Ttulo1"/>
    <w:uiPriority w:val="9"/>
    <w:rsid w:val="004E30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E307C"/>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4E307C"/>
    <w:pPr>
      <w:outlineLvl w:val="9"/>
    </w:pPr>
    <w:rPr>
      <w:lang w:eastAsia="es-CR"/>
    </w:rPr>
  </w:style>
  <w:style w:type="paragraph" w:styleId="Encabezado">
    <w:name w:val="header"/>
    <w:basedOn w:val="Normal"/>
    <w:link w:val="EncabezadoCar"/>
    <w:uiPriority w:val="99"/>
    <w:unhideWhenUsed/>
    <w:rsid w:val="007F08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0846"/>
  </w:style>
  <w:style w:type="paragraph" w:styleId="Piedepgina">
    <w:name w:val="footer"/>
    <w:basedOn w:val="Normal"/>
    <w:link w:val="PiedepginaCar"/>
    <w:unhideWhenUsed/>
    <w:rsid w:val="007F0846"/>
    <w:pPr>
      <w:tabs>
        <w:tab w:val="center" w:pos="4419"/>
        <w:tab w:val="right" w:pos="8838"/>
      </w:tabs>
      <w:spacing w:after="0" w:line="240" w:lineRule="auto"/>
    </w:pPr>
  </w:style>
  <w:style w:type="character" w:customStyle="1" w:styleId="PiedepginaCar">
    <w:name w:val="Pie de página Car"/>
    <w:basedOn w:val="Fuentedeprrafopredeter"/>
    <w:link w:val="Piedepgina"/>
    <w:rsid w:val="007F0846"/>
  </w:style>
  <w:style w:type="paragraph" w:styleId="TDC3">
    <w:name w:val="toc 3"/>
    <w:basedOn w:val="Normal"/>
    <w:next w:val="Normal"/>
    <w:autoRedefine/>
    <w:uiPriority w:val="39"/>
    <w:unhideWhenUsed/>
    <w:rsid w:val="00D676A7"/>
    <w:pPr>
      <w:spacing w:after="100"/>
      <w:ind w:left="440"/>
    </w:pPr>
  </w:style>
  <w:style w:type="paragraph" w:styleId="Revisin">
    <w:name w:val="Revision"/>
    <w:hidden/>
    <w:uiPriority w:val="99"/>
    <w:semiHidden/>
    <w:rsid w:val="00791AB8"/>
    <w:pPr>
      <w:spacing w:after="0" w:line="240" w:lineRule="auto"/>
    </w:pPr>
  </w:style>
  <w:style w:type="paragraph" w:customStyle="1" w:styleId="Numeracin">
    <w:name w:val="Numeración"/>
    <w:basedOn w:val="Normal"/>
    <w:qFormat/>
    <w:rsid w:val="00FA0CE7"/>
    <w:pPr>
      <w:numPr>
        <w:numId w:val="25"/>
      </w:numPr>
      <w:spacing w:before="120" w:after="0" w:line="240" w:lineRule="auto"/>
      <w:jc w:val="both"/>
    </w:pPr>
    <w:rPr>
      <w:rFonts w:ascii="Times New Roman" w:eastAsia="Times New Roman" w:hAnsi="Times New Roman" w:cs="Times New Roman"/>
      <w:szCs w:val="24"/>
      <w:lang w:val="es-ES" w:eastAsia="es-ES"/>
    </w:rPr>
  </w:style>
  <w:style w:type="paragraph" w:styleId="NormalWeb">
    <w:name w:val="Normal (Web)"/>
    <w:basedOn w:val="Normal"/>
    <w:uiPriority w:val="99"/>
    <w:unhideWhenUsed/>
    <w:rsid w:val="00D805B5"/>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98424">
      <w:bodyDiv w:val="1"/>
      <w:marLeft w:val="0"/>
      <w:marRight w:val="0"/>
      <w:marTop w:val="0"/>
      <w:marBottom w:val="0"/>
      <w:divBdr>
        <w:top w:val="none" w:sz="0" w:space="0" w:color="auto"/>
        <w:left w:val="none" w:sz="0" w:space="0" w:color="auto"/>
        <w:bottom w:val="none" w:sz="0" w:space="0" w:color="auto"/>
        <w:right w:val="none" w:sz="0" w:space="0" w:color="auto"/>
      </w:divBdr>
    </w:div>
    <w:div w:id="502551498">
      <w:bodyDiv w:val="1"/>
      <w:marLeft w:val="0"/>
      <w:marRight w:val="0"/>
      <w:marTop w:val="0"/>
      <w:marBottom w:val="0"/>
      <w:divBdr>
        <w:top w:val="none" w:sz="0" w:space="0" w:color="auto"/>
        <w:left w:val="none" w:sz="0" w:space="0" w:color="auto"/>
        <w:bottom w:val="none" w:sz="0" w:space="0" w:color="auto"/>
        <w:right w:val="none" w:sz="0" w:space="0" w:color="auto"/>
      </w:divBdr>
    </w:div>
    <w:div w:id="975792581">
      <w:bodyDiv w:val="1"/>
      <w:marLeft w:val="0"/>
      <w:marRight w:val="0"/>
      <w:marTop w:val="0"/>
      <w:marBottom w:val="0"/>
      <w:divBdr>
        <w:top w:val="none" w:sz="0" w:space="0" w:color="auto"/>
        <w:left w:val="none" w:sz="0" w:space="0" w:color="auto"/>
        <w:bottom w:val="none" w:sz="0" w:space="0" w:color="auto"/>
        <w:right w:val="none" w:sz="0" w:space="0" w:color="auto"/>
      </w:divBdr>
    </w:div>
    <w:div w:id="1208713211">
      <w:bodyDiv w:val="1"/>
      <w:marLeft w:val="0"/>
      <w:marRight w:val="0"/>
      <w:marTop w:val="0"/>
      <w:marBottom w:val="0"/>
      <w:divBdr>
        <w:top w:val="none" w:sz="0" w:space="0" w:color="auto"/>
        <w:left w:val="none" w:sz="0" w:space="0" w:color="auto"/>
        <w:bottom w:val="none" w:sz="0" w:space="0" w:color="auto"/>
        <w:right w:val="none" w:sz="0" w:space="0" w:color="auto"/>
      </w:divBdr>
    </w:div>
    <w:div w:id="1442601857">
      <w:bodyDiv w:val="1"/>
      <w:marLeft w:val="0"/>
      <w:marRight w:val="0"/>
      <w:marTop w:val="0"/>
      <w:marBottom w:val="0"/>
      <w:divBdr>
        <w:top w:val="none" w:sz="0" w:space="0" w:color="auto"/>
        <w:left w:val="none" w:sz="0" w:space="0" w:color="auto"/>
        <w:bottom w:val="none" w:sz="0" w:space="0" w:color="auto"/>
        <w:right w:val="none" w:sz="0" w:space="0" w:color="auto"/>
      </w:divBdr>
    </w:div>
    <w:div w:id="1788506746">
      <w:bodyDiv w:val="1"/>
      <w:marLeft w:val="0"/>
      <w:marRight w:val="0"/>
      <w:marTop w:val="0"/>
      <w:marBottom w:val="0"/>
      <w:divBdr>
        <w:top w:val="none" w:sz="0" w:space="0" w:color="auto"/>
        <w:left w:val="none" w:sz="0" w:space="0" w:color="auto"/>
        <w:bottom w:val="none" w:sz="0" w:space="0" w:color="auto"/>
        <w:right w:val="none" w:sz="0" w:space="0" w:color="auto"/>
      </w:divBdr>
    </w:div>
    <w:div w:id="19179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1D6F0B98-7D55-4D40-86CC-9413F5088DBD}">
  <ds:schemaRefs>
    <ds:schemaRef ds:uri="http://schemas.openxmlformats.org/officeDocument/2006/bibliography"/>
  </ds:schemaRefs>
</ds:datastoreItem>
</file>

<file path=customXml/itemProps2.xml><?xml version="1.0" encoding="utf-8"?>
<ds:datastoreItem xmlns:ds="http://schemas.openxmlformats.org/officeDocument/2006/customXml" ds:itemID="{61BEF647-9E13-4EC4-8DF3-6A6CF2D03655}"/>
</file>

<file path=customXml/itemProps3.xml><?xml version="1.0" encoding="utf-8"?>
<ds:datastoreItem xmlns:ds="http://schemas.openxmlformats.org/officeDocument/2006/customXml" ds:itemID="{6E3F85CA-4503-439D-B710-4AF6865E8985}"/>
</file>

<file path=customXml/itemProps4.xml><?xml version="1.0" encoding="utf-8"?>
<ds:datastoreItem xmlns:ds="http://schemas.openxmlformats.org/officeDocument/2006/customXml" ds:itemID="{B0ED20AE-A922-41FF-83DF-31C92C6AB5A9}"/>
</file>

<file path=docProps/app.xml><?xml version="1.0" encoding="utf-8"?>
<Properties xmlns="http://schemas.openxmlformats.org/officeDocument/2006/extended-properties" xmlns:vt="http://schemas.openxmlformats.org/officeDocument/2006/docPropsVTypes">
  <Template>Normal</Template>
  <TotalTime>0</TotalTime>
  <Pages>8</Pages>
  <Words>3052</Words>
  <Characters>16787</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2022-08-08T21:40:00Z</dcterms:created>
  <dcterms:modified xsi:type="dcterms:W3CDTF">2022-08-08T21:40:00Z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