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7021" w14:textId="4A45B5EF" w:rsidR="004649DF" w:rsidRPr="00BD2C5C" w:rsidRDefault="00115803" w:rsidP="00115803">
      <w:pPr>
        <w:pStyle w:val="Numeracin"/>
        <w:tabs>
          <w:tab w:val="clear" w:pos="360"/>
        </w:tabs>
        <w:spacing w:before="0"/>
        <w:ind w:left="0" w:right="-193" w:firstLine="0"/>
        <w:rPr>
          <w:rFonts w:ascii="Arial" w:eastAsiaTheme="minorHAnsi" w:hAnsi="Arial" w:cs="Arial"/>
          <w:b/>
          <w:sz w:val="24"/>
          <w:lang w:eastAsia="en-US"/>
        </w:rPr>
      </w:pPr>
      <w:r w:rsidRPr="00BD2C5C">
        <w:rPr>
          <w:rFonts w:ascii="Arial" w:eastAsiaTheme="minorHAnsi" w:hAnsi="Arial" w:cs="Arial"/>
          <w:b/>
          <w:sz w:val="24"/>
          <w:lang w:eastAsia="en-US"/>
        </w:rPr>
        <w:t xml:space="preserve">SGV-A-274. </w:t>
      </w:r>
      <w:r w:rsidRPr="00BD2C5C">
        <w:rPr>
          <w:rFonts w:ascii="Arial" w:hAnsi="Arial" w:cs="Arial"/>
          <w:b/>
          <w:szCs w:val="22"/>
        </w:rPr>
        <w:t>MODIFICACIÓN A LOS ACUERDOS SGV-A-61 “ACUERDO SOBRE HECHOS RELEVANTES” Y  SGV-A-257 “INFORMACIÓN BÁSICA DE LAS ENTIDADES REGULADAS Y SUPERVISADAS POR LA SUPERINTENDENCIA GENERAL DE VALORES”</w:t>
      </w:r>
      <w:r w:rsidR="004649DF" w:rsidRPr="00BD2C5C">
        <w:rPr>
          <w:rStyle w:val="Refdenotaalpie"/>
          <w:rFonts w:ascii="Arial" w:eastAsiaTheme="minorHAnsi" w:hAnsi="Arial" w:cs="Arial"/>
          <w:b/>
          <w:sz w:val="24"/>
          <w:lang w:eastAsia="en-US"/>
        </w:rPr>
        <w:footnoteReference w:id="1"/>
      </w:r>
    </w:p>
    <w:p w14:paraId="0A8D5D56" w14:textId="77777777" w:rsidR="004649DF" w:rsidRPr="00BD2C5C" w:rsidRDefault="004649DF" w:rsidP="004649DF">
      <w:pPr>
        <w:pStyle w:val="Numeracin"/>
        <w:tabs>
          <w:tab w:val="clear" w:pos="360"/>
        </w:tabs>
        <w:spacing w:before="0"/>
        <w:ind w:left="0" w:right="-193" w:firstLine="0"/>
        <w:rPr>
          <w:rFonts w:ascii="Arial" w:eastAsiaTheme="minorHAnsi" w:hAnsi="Arial" w:cs="Arial"/>
          <w:b/>
          <w:sz w:val="24"/>
          <w:lang w:eastAsia="en-US"/>
        </w:rPr>
      </w:pPr>
    </w:p>
    <w:p w14:paraId="4CF00209" w14:textId="77777777" w:rsidR="00115803" w:rsidRPr="00BD2C5C" w:rsidRDefault="00115803" w:rsidP="00115803">
      <w:pPr>
        <w:pStyle w:val="Ttulo"/>
        <w:tabs>
          <w:tab w:val="left" w:pos="2835"/>
        </w:tabs>
        <w:spacing w:before="240" w:after="240"/>
        <w:jc w:val="both"/>
        <w:rPr>
          <w:rFonts w:cs="Arial"/>
          <w:bCs/>
          <w:i w:val="0"/>
          <w:iCs/>
          <w:noProof/>
          <w:sz w:val="22"/>
          <w:szCs w:val="22"/>
          <w:lang w:val="es-ES_tradnl"/>
        </w:rPr>
      </w:pPr>
      <w:r w:rsidRPr="00BD2C5C">
        <w:rPr>
          <w:rFonts w:cs="Arial"/>
          <w:bCs/>
          <w:i w:val="0"/>
          <w:iCs/>
          <w:noProof/>
          <w:sz w:val="22"/>
          <w:szCs w:val="22"/>
          <w:lang w:val="es-ES_tradnl"/>
        </w:rPr>
        <w:t>Considerando que:</w:t>
      </w:r>
    </w:p>
    <w:p w14:paraId="2E8AF2F4" w14:textId="77777777" w:rsidR="00115803" w:rsidRPr="00BD2C5C" w:rsidRDefault="00115803" w:rsidP="00115803">
      <w:pPr>
        <w:pStyle w:val="Numeracin"/>
        <w:numPr>
          <w:ilvl w:val="0"/>
          <w:numId w:val="7"/>
        </w:numPr>
        <w:spacing w:before="0"/>
        <w:ind w:left="567" w:hanging="567"/>
        <w:rPr>
          <w:rFonts w:ascii="Arial" w:hAnsi="Arial" w:cs="Arial"/>
          <w:szCs w:val="22"/>
        </w:rPr>
      </w:pPr>
      <w:r w:rsidRPr="00BD2C5C">
        <w:rPr>
          <w:rFonts w:ascii="Arial" w:hAnsi="Arial" w:cs="Arial"/>
          <w:szCs w:val="22"/>
        </w:rPr>
        <w:t>El artículo 8 inciso j) de la Ley 7732, Ley Reguladora del Mercado de Valores, determina que corresponde al Superintendente General de Valores adoptar todas las acciones necesarias para el cumplimiento efectivo de las funciones de regulación que le competen a la Superintendencia según lo dispuesto en la ley.</w:t>
      </w:r>
    </w:p>
    <w:p w14:paraId="239752C2" w14:textId="77777777" w:rsidR="00115803" w:rsidRPr="00BD2C5C" w:rsidRDefault="00115803" w:rsidP="00115803">
      <w:pPr>
        <w:pStyle w:val="Numeracin"/>
        <w:tabs>
          <w:tab w:val="clear" w:pos="360"/>
        </w:tabs>
        <w:spacing w:before="0"/>
        <w:ind w:left="567" w:hanging="567"/>
        <w:rPr>
          <w:rFonts w:ascii="Arial" w:hAnsi="Arial" w:cs="Arial"/>
          <w:szCs w:val="22"/>
        </w:rPr>
      </w:pPr>
    </w:p>
    <w:p w14:paraId="7F4EA754" w14:textId="77777777" w:rsidR="00115803" w:rsidRPr="00BD2C5C" w:rsidRDefault="00115803" w:rsidP="00115803">
      <w:pPr>
        <w:pStyle w:val="Numeracin"/>
        <w:numPr>
          <w:ilvl w:val="0"/>
          <w:numId w:val="7"/>
        </w:numPr>
        <w:spacing w:before="0"/>
        <w:ind w:left="567" w:hanging="567"/>
        <w:rPr>
          <w:rFonts w:ascii="Arial" w:hAnsi="Arial" w:cs="Arial"/>
          <w:szCs w:val="22"/>
        </w:rPr>
      </w:pPr>
      <w:r w:rsidRPr="00BD2C5C">
        <w:rPr>
          <w:rFonts w:ascii="Arial" w:hAnsi="Arial" w:cs="Arial"/>
          <w:szCs w:val="22"/>
        </w:rPr>
        <w:t>El artículo 105 de la Ley Reguladora del Mercado de Valores, indica que los emisores de valores deberán informar al público, en el menor plazo posible, de la existencia de factores, hechos o decisiones que puedan influir, de modo sensible, en el precio de sus valores.</w:t>
      </w:r>
    </w:p>
    <w:p w14:paraId="07762CF7" w14:textId="77777777" w:rsidR="00115803" w:rsidRPr="00BD2C5C" w:rsidRDefault="00115803" w:rsidP="00115803">
      <w:pPr>
        <w:pStyle w:val="Numeracin"/>
        <w:tabs>
          <w:tab w:val="clear" w:pos="360"/>
        </w:tabs>
        <w:spacing w:before="0"/>
        <w:ind w:left="567" w:hanging="567"/>
        <w:rPr>
          <w:rFonts w:ascii="Arial" w:hAnsi="Arial" w:cs="Arial"/>
          <w:szCs w:val="22"/>
        </w:rPr>
      </w:pPr>
    </w:p>
    <w:p w14:paraId="5BA7C57D" w14:textId="77777777" w:rsidR="00115803" w:rsidRPr="00BD2C5C" w:rsidRDefault="00115803" w:rsidP="00115803">
      <w:pPr>
        <w:pStyle w:val="Numeracin"/>
        <w:numPr>
          <w:ilvl w:val="0"/>
          <w:numId w:val="7"/>
        </w:numPr>
        <w:spacing w:before="0"/>
        <w:ind w:left="567" w:hanging="567"/>
        <w:rPr>
          <w:rFonts w:ascii="Arial" w:hAnsi="Arial" w:cs="Arial"/>
          <w:szCs w:val="22"/>
        </w:rPr>
      </w:pPr>
      <w:r w:rsidRPr="00BD2C5C">
        <w:rPr>
          <w:rFonts w:ascii="Arial" w:hAnsi="Arial" w:cs="Arial"/>
          <w:szCs w:val="22"/>
        </w:rPr>
        <w:t xml:space="preserve">El artículo 13 del Acta de la Sesión 81-99, celebrada el 18 de marzo de 1999, el Consejo Nacional de Supervisión del Sistema Financiero aprobó el Reglamento sobre el Suministro de Información Periódica, Hechos Relevantes y otras Obligaciones de Información, el cual establece en su artículo 12 que los emisores y los sujetos fiscalizados deben comunicar los hechos relevantes a la Superintendencia, utilizando el formato de presentación que establezca el Superintendente. </w:t>
      </w:r>
    </w:p>
    <w:p w14:paraId="4E502A5F" w14:textId="77777777" w:rsidR="00115803" w:rsidRPr="00BD2C5C" w:rsidRDefault="00115803" w:rsidP="00115803">
      <w:pPr>
        <w:pStyle w:val="Numeracin"/>
        <w:tabs>
          <w:tab w:val="clear" w:pos="360"/>
        </w:tabs>
        <w:spacing w:before="0"/>
        <w:ind w:left="567" w:hanging="567"/>
        <w:rPr>
          <w:rFonts w:ascii="Arial" w:hAnsi="Arial" w:cs="Arial"/>
          <w:szCs w:val="22"/>
        </w:rPr>
      </w:pPr>
    </w:p>
    <w:p w14:paraId="74764FCE" w14:textId="77777777" w:rsidR="00115803" w:rsidRPr="00BD2C5C" w:rsidRDefault="00115803" w:rsidP="00115803">
      <w:pPr>
        <w:pStyle w:val="Numeracin"/>
        <w:numPr>
          <w:ilvl w:val="0"/>
          <w:numId w:val="7"/>
        </w:numPr>
        <w:spacing w:before="0"/>
        <w:ind w:left="567" w:hanging="567"/>
        <w:rPr>
          <w:rFonts w:ascii="Arial" w:hAnsi="Arial" w:cs="Arial"/>
          <w:szCs w:val="22"/>
        </w:rPr>
      </w:pPr>
      <w:r w:rsidRPr="00BD2C5C">
        <w:rPr>
          <w:rFonts w:ascii="Arial" w:hAnsi="Arial" w:cs="Arial"/>
          <w:szCs w:val="22"/>
        </w:rPr>
        <w:t xml:space="preserve">Este mismo Reglamento en su artículo 9, considera como hecho relevante todo hecho o decisión que pueda influir sensiblemente en las decisiones de los inversionistas respecto a los valores o instrumentos en los cuales invierte, a los participantes a través de los cuales invierte o a los participantes a los cuales compra sus servicios, siendo obligados de comunicar esta información inmediatamente después de que han tenido conocimiento, sin que este plazo pueda exceder de un día hábil, según se establece en los artículos 8 y 11. </w:t>
      </w:r>
    </w:p>
    <w:p w14:paraId="79E0951B" w14:textId="77777777" w:rsidR="00115803" w:rsidRPr="00BD2C5C" w:rsidRDefault="00115803" w:rsidP="00115803">
      <w:pPr>
        <w:pStyle w:val="Numeracin"/>
        <w:tabs>
          <w:tab w:val="clear" w:pos="360"/>
        </w:tabs>
        <w:spacing w:before="0"/>
        <w:ind w:left="567" w:hanging="567"/>
        <w:rPr>
          <w:rFonts w:ascii="Arial" w:hAnsi="Arial" w:cs="Arial"/>
          <w:szCs w:val="22"/>
        </w:rPr>
      </w:pPr>
    </w:p>
    <w:p w14:paraId="37C53601" w14:textId="77777777" w:rsidR="00115803" w:rsidRPr="00BD2C5C" w:rsidRDefault="00115803" w:rsidP="00115803">
      <w:pPr>
        <w:pStyle w:val="Numeracin"/>
        <w:numPr>
          <w:ilvl w:val="0"/>
          <w:numId w:val="7"/>
        </w:numPr>
        <w:spacing w:before="0"/>
        <w:ind w:left="567" w:hanging="567"/>
        <w:rPr>
          <w:rFonts w:ascii="Arial" w:hAnsi="Arial" w:cs="Arial"/>
          <w:szCs w:val="22"/>
        </w:rPr>
      </w:pPr>
      <w:r w:rsidRPr="00BD2C5C">
        <w:rPr>
          <w:rFonts w:ascii="Arial" w:hAnsi="Arial" w:cs="Arial"/>
          <w:szCs w:val="22"/>
        </w:rPr>
        <w:t>Que el artículo 9 del Reglamento en mención indica que el Superintendente establecerá una lista no exhaustiva de casos en los que se entenderá que se está en presencia de hechos relevantes. Y en su artículo 14 la potestad del Superintendente para excluir del Registro Nacional de Valores e Intermediarios los hechos comunicados que a su juicio no constituyan un hecho relevante. Esta potestad implica la necesidad de establecer un tipo de comunicado para estos casos de naturaleza distinta al comunicado de hecho relevante.</w:t>
      </w:r>
    </w:p>
    <w:p w14:paraId="23B58E52" w14:textId="77777777" w:rsidR="00115803" w:rsidRPr="00BD2C5C" w:rsidRDefault="00115803" w:rsidP="00115803">
      <w:pPr>
        <w:pStyle w:val="Numeracin"/>
        <w:tabs>
          <w:tab w:val="clear" w:pos="360"/>
        </w:tabs>
        <w:spacing w:before="0"/>
        <w:ind w:left="567" w:hanging="567"/>
        <w:rPr>
          <w:rFonts w:ascii="Arial" w:hAnsi="Arial" w:cs="Arial"/>
          <w:szCs w:val="22"/>
        </w:rPr>
      </w:pPr>
    </w:p>
    <w:p w14:paraId="07219DFC" w14:textId="77777777" w:rsidR="00115803" w:rsidRPr="00BD2C5C" w:rsidRDefault="00115803" w:rsidP="00115803">
      <w:pPr>
        <w:pStyle w:val="Numeracin"/>
        <w:numPr>
          <w:ilvl w:val="0"/>
          <w:numId w:val="7"/>
        </w:numPr>
        <w:spacing w:before="0"/>
        <w:ind w:left="567" w:hanging="567"/>
        <w:rPr>
          <w:rFonts w:ascii="Arial" w:hAnsi="Arial" w:cs="Arial"/>
          <w:color w:val="000000" w:themeColor="text1"/>
          <w:szCs w:val="22"/>
        </w:rPr>
      </w:pPr>
      <w:r w:rsidRPr="00BD2C5C">
        <w:rPr>
          <w:rFonts w:ascii="Arial" w:hAnsi="Arial" w:cs="Arial"/>
          <w:szCs w:val="22"/>
        </w:rPr>
        <w:t xml:space="preserve">El artículo 6 del Reglamento sobre el Registro Nacional de Valores e Intermediarios </w:t>
      </w:r>
      <w:r w:rsidRPr="00BD2C5C">
        <w:rPr>
          <w:rFonts w:ascii="Arial" w:hAnsi="Arial" w:cs="Arial"/>
          <w:color w:val="000000" w:themeColor="text1"/>
          <w:szCs w:val="22"/>
        </w:rPr>
        <w:t xml:space="preserve">indica el tipo de información periódica que se encuentra sujeta a inscripción, en donde se incluyen los hechos relevantes y otras obligaciones de información, y el </w:t>
      </w:r>
      <w:r w:rsidRPr="00BD2C5C">
        <w:rPr>
          <w:rFonts w:ascii="Arial" w:hAnsi="Arial" w:cs="Arial"/>
          <w:color w:val="000000" w:themeColor="text1"/>
          <w:szCs w:val="22"/>
        </w:rPr>
        <w:lastRenderedPageBreak/>
        <w:t>artículo 8 determina que el Registro Nacional de Valores e Intermediarios será de acceso público.</w:t>
      </w:r>
    </w:p>
    <w:p w14:paraId="2FB676E2" w14:textId="77777777" w:rsidR="00115803" w:rsidRPr="00BD2C5C" w:rsidRDefault="00115803" w:rsidP="00115803">
      <w:pPr>
        <w:pStyle w:val="Numeracin"/>
        <w:tabs>
          <w:tab w:val="clear" w:pos="360"/>
        </w:tabs>
        <w:spacing w:before="0"/>
        <w:ind w:left="720" w:firstLine="0"/>
        <w:rPr>
          <w:rFonts w:ascii="Arial" w:hAnsi="Arial" w:cs="Arial"/>
          <w:color w:val="000000" w:themeColor="text1"/>
          <w:szCs w:val="22"/>
        </w:rPr>
      </w:pPr>
    </w:p>
    <w:p w14:paraId="05FB87A2" w14:textId="77777777" w:rsidR="00115803" w:rsidRPr="00BD2C5C" w:rsidRDefault="00115803" w:rsidP="00115803">
      <w:pPr>
        <w:pStyle w:val="Numeracin"/>
        <w:tabs>
          <w:tab w:val="clear" w:pos="360"/>
        </w:tabs>
        <w:spacing w:before="0"/>
        <w:ind w:left="567" w:hanging="567"/>
        <w:rPr>
          <w:rFonts w:ascii="Arial" w:hAnsi="Arial" w:cs="Arial"/>
          <w:color w:val="000000" w:themeColor="text1"/>
          <w:szCs w:val="22"/>
        </w:rPr>
      </w:pPr>
    </w:p>
    <w:p w14:paraId="1D8F08ED" w14:textId="77777777" w:rsidR="00115803" w:rsidRPr="00BD2C5C" w:rsidRDefault="00115803" w:rsidP="00115803">
      <w:pPr>
        <w:pStyle w:val="Numeracin"/>
        <w:numPr>
          <w:ilvl w:val="0"/>
          <w:numId w:val="7"/>
        </w:numPr>
        <w:spacing w:before="0"/>
        <w:ind w:left="567" w:hanging="567"/>
        <w:rPr>
          <w:rFonts w:ascii="Arial" w:hAnsi="Arial" w:cs="Arial"/>
          <w:color w:val="000000" w:themeColor="text1"/>
          <w:szCs w:val="22"/>
        </w:rPr>
      </w:pPr>
      <w:r w:rsidRPr="00BD2C5C">
        <w:rPr>
          <w:rFonts w:ascii="Arial" w:hAnsi="Arial" w:cs="Arial"/>
          <w:color w:val="000000" w:themeColor="text1"/>
          <w:szCs w:val="22"/>
        </w:rPr>
        <w:t xml:space="preserve">El Consejo Nacional de Supervisión del Sistema Financiero mediante el artículo 6 del acta de la sesión 1711-2022, celebrada el 27 de enero del 2022, aprobó en firme la modificación a los siguientes reglamentos artículos 23, 24 y 115 del Reglamento General sobre Sociedades Administradoras y Fondos de Inversión, el quinto párrafo del artículo 18, el segundo literal c) del artículo 23 y derogar el segundo literal b) del artículo 23 del Reglamento sobre Calificación de Valores y Sociedades Calificadoras de Riesgo, el segundo párrafo del artículo 12 y el artículo 14 del Reglamento sobre el suministro de información periódica, hechos relevantes y otras obligaciones de información, el artículo 32 del Reglamento sobre Valoración de Instrumentos Financieros y los artículos 2 y 9 Reglamento sobre Registro Nacional de Valores e Intermediarios, relacionados con la actualización de las normas de revelación por hechos relevantes. </w:t>
      </w:r>
    </w:p>
    <w:p w14:paraId="135632FC" w14:textId="77777777" w:rsidR="00115803" w:rsidRPr="00BD2C5C" w:rsidRDefault="00115803" w:rsidP="00115803">
      <w:pPr>
        <w:pStyle w:val="Prrafodelista"/>
        <w:rPr>
          <w:rFonts w:ascii="Arial" w:hAnsi="Arial" w:cs="Arial"/>
          <w:color w:val="000000" w:themeColor="text1"/>
          <w:szCs w:val="22"/>
          <w:highlight w:val="yellow"/>
        </w:rPr>
      </w:pPr>
    </w:p>
    <w:p w14:paraId="6CEE9A94" w14:textId="77777777" w:rsidR="00115803" w:rsidRPr="00BD2C5C" w:rsidRDefault="00115803" w:rsidP="00115803">
      <w:pPr>
        <w:pStyle w:val="Numeracin"/>
        <w:numPr>
          <w:ilvl w:val="0"/>
          <w:numId w:val="7"/>
        </w:numPr>
        <w:spacing w:before="0"/>
        <w:ind w:left="567" w:hanging="567"/>
        <w:rPr>
          <w:rFonts w:ascii="Arial" w:hAnsi="Arial" w:cs="Arial"/>
          <w:color w:val="000000" w:themeColor="text1"/>
          <w:lang w:eastAsia="es-CR"/>
        </w:rPr>
      </w:pPr>
      <w:r w:rsidRPr="00BD2C5C">
        <w:rPr>
          <w:rFonts w:ascii="Arial" w:hAnsi="Arial" w:cs="Arial"/>
          <w:color w:val="000000" w:themeColor="text1"/>
          <w:lang w:eastAsia="es-CR"/>
        </w:rPr>
        <w:t xml:space="preserve">Como resultado del proceso de revisión continua de los acuerdos emitidos por el Superintendente, se han identificado mejoras menores a acuerdos vigentes que son necesarias para mantener la coherencia y actualización de las disposiciones que deben acatar las entidades supervisadas, por lo que se hace necesario proponer la actualización de disposiciones específicas en los acuerdos SGV-A-61 Acuerdo sobre Hechos Relevantes y SGV-A-257. Información Básica de las Entidades Reguladas y Supervisadas por la Superintendencia General de Valores. </w:t>
      </w:r>
    </w:p>
    <w:p w14:paraId="18ACFFFA" w14:textId="77777777" w:rsidR="00115803" w:rsidRPr="00BD2C5C" w:rsidRDefault="00115803" w:rsidP="00115803">
      <w:pPr>
        <w:pStyle w:val="Prrafodelista"/>
        <w:rPr>
          <w:rFonts w:ascii="Arial" w:hAnsi="Arial" w:cs="Arial"/>
          <w:color w:val="000000" w:themeColor="text1"/>
          <w:szCs w:val="22"/>
        </w:rPr>
      </w:pPr>
    </w:p>
    <w:p w14:paraId="3FE4D5FD" w14:textId="77777777" w:rsidR="00115803" w:rsidRPr="00BD2C5C" w:rsidRDefault="00115803" w:rsidP="00115803">
      <w:pPr>
        <w:pStyle w:val="Numeracin"/>
        <w:numPr>
          <w:ilvl w:val="0"/>
          <w:numId w:val="7"/>
        </w:numPr>
        <w:spacing w:before="0"/>
        <w:ind w:left="567" w:hanging="567"/>
        <w:rPr>
          <w:rFonts w:ascii="Arial" w:hAnsi="Arial" w:cs="Arial"/>
          <w:color w:val="000000" w:themeColor="text1"/>
          <w:lang w:eastAsia="es-CR"/>
        </w:rPr>
      </w:pPr>
      <w:r w:rsidRPr="00BD2C5C">
        <w:rPr>
          <w:rFonts w:ascii="Arial" w:hAnsi="Arial" w:cs="Arial"/>
          <w:color w:val="000000" w:themeColor="text1"/>
          <w:lang w:eastAsia="es-CR"/>
        </w:rPr>
        <w:t>Los nombramientos y remociones de los miembros de junta directiva y representantes a quienes se otorgue poderes generales o generalísimos requieren de conformidad con el artículo 1251 del Código Civil que se otorguen en escritura pública, inscribirse en la sección correspondiente del Registro de la Propiedad y producen efecto respecto de terceros a partir de la fecha de su inscripción. Es hasta ese momento que procede la difusión al mercado de dichos nombramientos y su inscripción en el Registro Nacional de Valores e Intermediarios.</w:t>
      </w:r>
    </w:p>
    <w:p w14:paraId="48F21F47" w14:textId="77777777" w:rsidR="00115803" w:rsidRPr="00BD2C5C" w:rsidRDefault="00115803" w:rsidP="00115803">
      <w:pPr>
        <w:pStyle w:val="Prrafodelista"/>
        <w:rPr>
          <w:rFonts w:ascii="Arial" w:hAnsi="Arial" w:cs="Arial"/>
          <w:szCs w:val="22"/>
        </w:rPr>
      </w:pPr>
    </w:p>
    <w:p w14:paraId="0BA6D4DE" w14:textId="77777777" w:rsidR="00115803" w:rsidRPr="00BD2C5C" w:rsidRDefault="00115803" w:rsidP="00115803">
      <w:pPr>
        <w:widowControl w:val="0"/>
        <w:tabs>
          <w:tab w:val="left" w:pos="567"/>
        </w:tabs>
        <w:spacing w:before="240" w:after="240"/>
        <w:jc w:val="both"/>
        <w:rPr>
          <w:rFonts w:ascii="Arial" w:hAnsi="Arial" w:cs="Arial"/>
          <w:bCs/>
          <w:szCs w:val="22"/>
        </w:rPr>
      </w:pPr>
      <w:r w:rsidRPr="00BD2C5C">
        <w:rPr>
          <w:rFonts w:ascii="Arial" w:hAnsi="Arial" w:cs="Arial"/>
          <w:bCs/>
          <w:szCs w:val="22"/>
        </w:rPr>
        <w:t>Por tanto, dispone el presente acuerdo:</w:t>
      </w:r>
    </w:p>
    <w:p w14:paraId="1A40F59C" w14:textId="77777777" w:rsidR="00115803" w:rsidRPr="00BD2C5C" w:rsidRDefault="00115803" w:rsidP="00115803">
      <w:pPr>
        <w:tabs>
          <w:tab w:val="left" w:pos="8910"/>
        </w:tabs>
        <w:spacing w:before="240" w:after="240"/>
        <w:jc w:val="center"/>
        <w:rPr>
          <w:rFonts w:ascii="Arial" w:hAnsi="Arial" w:cs="Arial"/>
          <w:b/>
          <w:szCs w:val="22"/>
        </w:rPr>
      </w:pPr>
      <w:r w:rsidRPr="00BD2C5C">
        <w:rPr>
          <w:rFonts w:ascii="Arial" w:hAnsi="Arial" w:cs="Arial"/>
          <w:b/>
          <w:szCs w:val="22"/>
        </w:rPr>
        <w:t>APROBAR EL ACUERDO SGV-A-274.  MODIFICACIÓN AL ACUERDO SGV-A-61 “ACUERDO SOBRE HECHOS RELEVANTES y el ACUERDO SGV-A-257”</w:t>
      </w:r>
    </w:p>
    <w:p w14:paraId="491B148C" w14:textId="77777777" w:rsidR="00115803" w:rsidRPr="00BD2C5C" w:rsidRDefault="00115803" w:rsidP="00115803">
      <w:pPr>
        <w:spacing w:before="240" w:after="240"/>
        <w:jc w:val="both"/>
        <w:rPr>
          <w:rFonts w:ascii="Arial" w:hAnsi="Arial" w:cs="Arial"/>
          <w:b/>
          <w:color w:val="000000" w:themeColor="text1"/>
          <w:szCs w:val="22"/>
        </w:rPr>
      </w:pPr>
      <w:r w:rsidRPr="00BD2C5C">
        <w:rPr>
          <w:rFonts w:ascii="Arial" w:hAnsi="Arial" w:cs="Arial"/>
          <w:b/>
          <w:color w:val="000000" w:themeColor="text1"/>
          <w:szCs w:val="22"/>
        </w:rPr>
        <w:t>Artículo 1. Reforma</w:t>
      </w:r>
    </w:p>
    <w:p w14:paraId="2EF02583" w14:textId="77777777" w:rsidR="00115803" w:rsidRPr="00BD2C5C" w:rsidRDefault="00115803" w:rsidP="00115803">
      <w:pPr>
        <w:pStyle w:val="Prrafodelista"/>
        <w:numPr>
          <w:ilvl w:val="0"/>
          <w:numId w:val="8"/>
        </w:numPr>
        <w:tabs>
          <w:tab w:val="left" w:pos="8910"/>
        </w:tabs>
        <w:spacing w:before="240" w:after="240"/>
        <w:contextualSpacing w:val="0"/>
        <w:jc w:val="both"/>
        <w:rPr>
          <w:rFonts w:ascii="Arial" w:hAnsi="Arial" w:cs="Arial"/>
          <w:bCs/>
          <w:szCs w:val="22"/>
        </w:rPr>
      </w:pPr>
      <w:r w:rsidRPr="00BD2C5C">
        <w:rPr>
          <w:rFonts w:ascii="Arial" w:hAnsi="Arial" w:cs="Arial"/>
          <w:b/>
          <w:szCs w:val="22"/>
        </w:rPr>
        <w:t xml:space="preserve">Modificar </w:t>
      </w:r>
      <w:r w:rsidRPr="00BD2C5C">
        <w:rPr>
          <w:rFonts w:ascii="Arial" w:hAnsi="Arial" w:cs="Arial"/>
          <w:bCs/>
          <w:szCs w:val="22"/>
        </w:rPr>
        <w:t>el Anexo 1.</w:t>
      </w:r>
    </w:p>
    <w:p w14:paraId="4DDBE695" w14:textId="77777777" w:rsidR="00115803" w:rsidRPr="00BD2C5C" w:rsidRDefault="00115803" w:rsidP="00115803">
      <w:pPr>
        <w:tabs>
          <w:tab w:val="left" w:pos="8910"/>
        </w:tabs>
        <w:spacing w:before="240" w:after="240"/>
        <w:contextualSpacing/>
        <w:jc w:val="both"/>
        <w:rPr>
          <w:rFonts w:ascii="Arial" w:hAnsi="Arial" w:cs="Arial"/>
          <w:szCs w:val="22"/>
        </w:rPr>
      </w:pPr>
      <w:r w:rsidRPr="00BD2C5C">
        <w:rPr>
          <w:rFonts w:ascii="Arial" w:hAnsi="Arial" w:cs="Arial"/>
          <w:szCs w:val="22"/>
        </w:rPr>
        <w:t xml:space="preserve">Para que se lean como sigue: </w:t>
      </w:r>
    </w:p>
    <w:p w14:paraId="0829D3B9" w14:textId="77777777" w:rsidR="00115803" w:rsidRPr="00BD2C5C" w:rsidRDefault="00115803" w:rsidP="00115803">
      <w:pPr>
        <w:pStyle w:val="Textoindependiente3"/>
        <w:spacing w:after="0"/>
        <w:jc w:val="both"/>
        <w:rPr>
          <w:rFonts w:ascii="Arial" w:hAnsi="Arial" w:cs="Arial"/>
          <w:b/>
          <w:color w:val="000000" w:themeColor="text1"/>
          <w:sz w:val="22"/>
          <w:szCs w:val="22"/>
        </w:rPr>
      </w:pPr>
      <w:r w:rsidRPr="00BD2C5C">
        <w:rPr>
          <w:rFonts w:ascii="Arial" w:hAnsi="Arial" w:cs="Arial"/>
          <w:b/>
          <w:color w:val="000000" w:themeColor="text1"/>
          <w:sz w:val="22"/>
          <w:szCs w:val="22"/>
        </w:rPr>
        <w:t>Reforma a la lista no exhaustiva de hechos relevantes</w:t>
      </w:r>
    </w:p>
    <w:p w14:paraId="47AC21C5" w14:textId="77777777" w:rsidR="00115803" w:rsidRPr="00BD2C5C" w:rsidRDefault="00115803" w:rsidP="00115803">
      <w:pPr>
        <w:rPr>
          <w:rFonts w:ascii="Arial" w:hAnsi="Arial" w:cs="Arial"/>
          <w:color w:val="000000" w:themeColor="text1"/>
          <w:lang w:eastAsia="es-CR"/>
        </w:rPr>
      </w:pPr>
    </w:p>
    <w:p w14:paraId="319859EF" w14:textId="77777777" w:rsidR="00115803" w:rsidRPr="00BD2C5C" w:rsidRDefault="00115803" w:rsidP="00115803">
      <w:pPr>
        <w:pStyle w:val="Prrafodelista"/>
        <w:numPr>
          <w:ilvl w:val="0"/>
          <w:numId w:val="9"/>
        </w:numPr>
        <w:contextualSpacing w:val="0"/>
        <w:jc w:val="both"/>
        <w:rPr>
          <w:rFonts w:ascii="Arial" w:hAnsi="Arial" w:cs="Arial"/>
          <w:color w:val="000000" w:themeColor="text1"/>
          <w:lang w:eastAsia="es-CR"/>
        </w:rPr>
      </w:pPr>
      <w:r w:rsidRPr="00BD2C5C">
        <w:rPr>
          <w:rFonts w:ascii="Arial" w:hAnsi="Arial" w:cs="Arial"/>
          <w:color w:val="000000" w:themeColor="text1"/>
          <w:lang w:eastAsia="es-CR"/>
        </w:rPr>
        <w:t xml:space="preserve">Modificar el Anexo 1 para que en los casos de la comunicación de los hechos relevantes relacionados con nombramientos con cargos y poderes generales o generalísimos que deben ser inscritos en el Registro Público, la comunicación del hecho relevante se realice una vez que dichos poderes se encuentren ante dicho </w:t>
      </w:r>
      <w:r w:rsidRPr="00BD2C5C">
        <w:rPr>
          <w:rFonts w:ascii="Arial" w:hAnsi="Arial" w:cs="Arial"/>
          <w:color w:val="000000" w:themeColor="text1"/>
          <w:lang w:eastAsia="es-CR"/>
        </w:rPr>
        <w:lastRenderedPageBreak/>
        <w:t xml:space="preserve">Registro. El resto de los nombramientos internos deben ser comunicados en el momento en que la administración toma la decisión. </w:t>
      </w:r>
    </w:p>
    <w:p w14:paraId="3CBEF7B9" w14:textId="77777777" w:rsidR="00115803" w:rsidRPr="00BD2C5C" w:rsidRDefault="00115803" w:rsidP="00115803">
      <w:pPr>
        <w:rPr>
          <w:rFonts w:ascii="Arial" w:hAnsi="Arial" w:cs="Arial"/>
          <w:color w:val="000000" w:themeColor="text1"/>
          <w:lang w:eastAsia="es-CR"/>
        </w:rPr>
      </w:pPr>
    </w:p>
    <w:p w14:paraId="05323C24" w14:textId="77777777" w:rsidR="00115803" w:rsidRPr="00BD2C5C" w:rsidRDefault="00115803" w:rsidP="00115803">
      <w:pPr>
        <w:pStyle w:val="Textoindependiente3"/>
        <w:spacing w:after="0"/>
        <w:jc w:val="both"/>
        <w:rPr>
          <w:rFonts w:ascii="Arial" w:hAnsi="Arial" w:cs="Arial"/>
          <w:b/>
          <w:color w:val="000000" w:themeColor="text1"/>
          <w:sz w:val="22"/>
          <w:szCs w:val="22"/>
        </w:rPr>
      </w:pPr>
      <w:r w:rsidRPr="00BD2C5C">
        <w:rPr>
          <w:rFonts w:ascii="Arial" w:hAnsi="Arial" w:cs="Arial"/>
          <w:b/>
          <w:color w:val="000000" w:themeColor="text1"/>
          <w:sz w:val="22"/>
          <w:szCs w:val="22"/>
        </w:rPr>
        <w:t>ANEXO 1 AL ACUERDO SGV-A-61</w:t>
      </w:r>
    </w:p>
    <w:p w14:paraId="7339F2F0" w14:textId="77777777" w:rsidR="00115803" w:rsidRPr="00BD2C5C" w:rsidRDefault="00115803" w:rsidP="00115803">
      <w:pPr>
        <w:keepNext/>
        <w:widowControl w:val="0"/>
        <w:jc w:val="both"/>
        <w:outlineLvl w:val="3"/>
        <w:rPr>
          <w:rFonts w:ascii="Arial" w:hAnsi="Arial" w:cs="Arial"/>
          <w:b/>
          <w:bCs/>
          <w:color w:val="0070C0"/>
        </w:rPr>
      </w:pPr>
    </w:p>
    <w:tbl>
      <w:tblPr>
        <w:tblW w:w="9145" w:type="dxa"/>
        <w:tblCellMar>
          <w:left w:w="70" w:type="dxa"/>
          <w:right w:w="70" w:type="dxa"/>
        </w:tblCellMar>
        <w:tblLook w:val="04A0" w:firstRow="1" w:lastRow="0" w:firstColumn="1" w:lastColumn="0" w:noHBand="0" w:noVBand="1"/>
      </w:tblPr>
      <w:tblGrid>
        <w:gridCol w:w="4248"/>
        <w:gridCol w:w="1417"/>
        <w:gridCol w:w="1701"/>
        <w:gridCol w:w="1779"/>
      </w:tblGrid>
      <w:tr w:rsidR="00115803" w:rsidRPr="00BD2C5C" w14:paraId="479BA2E8" w14:textId="77777777" w:rsidTr="004C7398">
        <w:trPr>
          <w:trHeight w:val="557"/>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9D46E"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LISTA NO EXHAUSTIVA DE HECHOS RELEVANTES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C74187"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EMISORES DE DEUDA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29890C"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EMISORES DE VALORES DE CONTENIDO PATRIMONIAL O MIXTO</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7B7B6341"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OTROS</w:t>
            </w:r>
          </w:p>
        </w:tc>
      </w:tr>
      <w:tr w:rsidR="00115803" w:rsidRPr="00BD2C5C" w14:paraId="0CC5F61B" w14:textId="77777777" w:rsidTr="004C7398">
        <w:trPr>
          <w:trHeight w:val="416"/>
        </w:trPr>
        <w:tc>
          <w:tcPr>
            <w:tcW w:w="9145"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38C58682"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b/>
                <w:bCs/>
                <w:color w:val="000000" w:themeColor="text1"/>
                <w:lang w:eastAsia="es-CR"/>
              </w:rPr>
              <w:t>Gobierno Corporativo</w:t>
            </w:r>
          </w:p>
        </w:tc>
      </w:tr>
      <w:tr w:rsidR="00115803" w:rsidRPr="00BD2C5C" w14:paraId="146010EF" w14:textId="77777777" w:rsidTr="004C7398">
        <w:trPr>
          <w:trHeight w:val="1417"/>
        </w:trPr>
        <w:tc>
          <w:tcPr>
            <w:tcW w:w="4248" w:type="dxa"/>
            <w:tcBorders>
              <w:top w:val="nil"/>
              <w:left w:val="single" w:sz="4" w:space="0" w:color="auto"/>
              <w:bottom w:val="single" w:sz="4" w:space="0" w:color="auto"/>
              <w:right w:val="nil"/>
            </w:tcBorders>
            <w:shd w:val="clear" w:color="auto" w:fill="auto"/>
          </w:tcPr>
          <w:p w14:paraId="217F2B39" w14:textId="77777777" w:rsidR="00115803" w:rsidRPr="00BD2C5C" w:rsidRDefault="00115803" w:rsidP="004C7398">
            <w:pPr>
              <w:jc w:val="both"/>
              <w:rPr>
                <w:rFonts w:ascii="Arial" w:hAnsi="Arial" w:cs="Arial"/>
                <w:color w:val="000000" w:themeColor="text1"/>
                <w:lang w:eastAsia="es-CR"/>
              </w:rPr>
            </w:pPr>
            <w:r w:rsidRPr="00BD2C5C">
              <w:rPr>
                <w:rFonts w:ascii="Arial" w:hAnsi="Arial" w:cs="Arial"/>
                <w:color w:val="000000" w:themeColor="text1"/>
              </w:rPr>
              <w:t xml:space="preserve">Nombramiento y remoción de los miembros de Junta Directiva, alta gerencia y representantes legales con poderes de apoderados general y generalísimo </w:t>
            </w:r>
            <w:r w:rsidRPr="00BD2C5C">
              <w:rPr>
                <w:rFonts w:ascii="Arial" w:hAnsi="Arial" w:cs="Arial"/>
                <w:color w:val="000000" w:themeColor="text1"/>
                <w:lang w:eastAsia="es-CR"/>
              </w:rPr>
              <w:t>hasta que se encuentren debidamente inscritos en el Registro Público</w:t>
            </w:r>
            <w:r w:rsidRPr="00BD2C5C">
              <w:rPr>
                <w:rFonts w:ascii="Arial" w:hAnsi="Arial" w:cs="Arial"/>
                <w:color w:val="000000" w:themeColor="text1"/>
              </w:rPr>
              <w:t>.</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6A9F323"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60E15FDA"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41271BBE"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color w:val="000000" w:themeColor="text1"/>
              </w:rPr>
              <w:t>X (Solo SAFIS)</w:t>
            </w:r>
          </w:p>
        </w:tc>
      </w:tr>
      <w:tr w:rsidR="00115803" w:rsidRPr="00BD2C5C" w14:paraId="0A2889C0" w14:textId="77777777" w:rsidTr="004C7398">
        <w:trPr>
          <w:trHeight w:val="390"/>
        </w:trPr>
        <w:tc>
          <w:tcPr>
            <w:tcW w:w="4248" w:type="dxa"/>
            <w:tcBorders>
              <w:top w:val="nil"/>
              <w:left w:val="single" w:sz="4" w:space="0" w:color="auto"/>
              <w:bottom w:val="single" w:sz="4" w:space="0" w:color="auto"/>
              <w:right w:val="nil"/>
            </w:tcBorders>
            <w:shd w:val="clear" w:color="auto" w:fill="auto"/>
          </w:tcPr>
          <w:p w14:paraId="44764A2F" w14:textId="77777777" w:rsidR="00115803" w:rsidRPr="00BD2C5C" w:rsidRDefault="00115803" w:rsidP="004C7398">
            <w:pPr>
              <w:jc w:val="both"/>
              <w:rPr>
                <w:rFonts w:ascii="Arial" w:hAnsi="Arial" w:cs="Arial"/>
                <w:color w:val="000000" w:themeColor="text1"/>
                <w:lang w:eastAsia="es-CR"/>
              </w:rPr>
            </w:pPr>
            <w:r w:rsidRPr="00BD2C5C">
              <w:rPr>
                <w:rFonts w:ascii="Arial" w:hAnsi="Arial" w:cs="Arial"/>
                <w:color w:val="000000" w:themeColor="text1"/>
                <w:lang w:eastAsia="es-CR"/>
              </w:rPr>
              <w:t>Nombramiento y remoción de los miembros de comité de inversiones, gestor de portafolios y comité de riesgos en el momento en que se toma la decisión administrativa.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908D11B"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color w:val="000000" w:themeColor="text1"/>
              </w:rPr>
              <w:t>X</w:t>
            </w:r>
          </w:p>
        </w:tc>
        <w:tc>
          <w:tcPr>
            <w:tcW w:w="1701" w:type="dxa"/>
            <w:tcBorders>
              <w:top w:val="nil"/>
              <w:left w:val="nil"/>
              <w:bottom w:val="single" w:sz="4" w:space="0" w:color="auto"/>
              <w:right w:val="single" w:sz="4" w:space="0" w:color="auto"/>
            </w:tcBorders>
            <w:shd w:val="clear" w:color="auto" w:fill="auto"/>
            <w:vAlign w:val="center"/>
          </w:tcPr>
          <w:p w14:paraId="324ABF18"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color w:val="000000" w:themeColor="text1"/>
              </w:rPr>
              <w:t>X</w:t>
            </w:r>
          </w:p>
        </w:tc>
        <w:tc>
          <w:tcPr>
            <w:tcW w:w="1779" w:type="dxa"/>
            <w:tcBorders>
              <w:top w:val="nil"/>
              <w:left w:val="nil"/>
              <w:bottom w:val="single" w:sz="4" w:space="0" w:color="auto"/>
              <w:right w:val="single" w:sz="4" w:space="0" w:color="auto"/>
            </w:tcBorders>
            <w:shd w:val="clear" w:color="auto" w:fill="auto"/>
            <w:vAlign w:val="center"/>
          </w:tcPr>
          <w:p w14:paraId="7891BDBA"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color w:val="000000" w:themeColor="text1"/>
              </w:rPr>
              <w:t>X (Solo SAFIS)</w:t>
            </w:r>
          </w:p>
        </w:tc>
      </w:tr>
      <w:tr w:rsidR="00115803" w:rsidRPr="00BD2C5C" w14:paraId="73196217" w14:textId="77777777" w:rsidTr="004C7398">
        <w:trPr>
          <w:trHeight w:val="1350"/>
        </w:trPr>
        <w:tc>
          <w:tcPr>
            <w:tcW w:w="4248" w:type="dxa"/>
            <w:tcBorders>
              <w:top w:val="nil"/>
              <w:left w:val="single" w:sz="4" w:space="0" w:color="auto"/>
              <w:bottom w:val="single" w:sz="4" w:space="0" w:color="auto"/>
              <w:right w:val="nil"/>
            </w:tcBorders>
            <w:shd w:val="clear" w:color="auto" w:fill="auto"/>
          </w:tcPr>
          <w:p w14:paraId="503943EB" w14:textId="77777777" w:rsidR="00115803" w:rsidRPr="00BD2C5C" w:rsidRDefault="00115803" w:rsidP="004C7398">
            <w:pPr>
              <w:jc w:val="both"/>
              <w:rPr>
                <w:rFonts w:ascii="Arial" w:hAnsi="Arial" w:cs="Arial"/>
                <w:color w:val="000000" w:themeColor="text1"/>
                <w:lang w:eastAsia="es-CR"/>
              </w:rPr>
            </w:pPr>
            <w:r w:rsidRPr="00BD2C5C">
              <w:rPr>
                <w:rFonts w:ascii="Arial" w:hAnsi="Arial" w:cs="Arial"/>
                <w:color w:val="000000" w:themeColor="text1"/>
              </w:rPr>
              <w:t xml:space="preserve">Nombramiento y remoción de alta gerencia y representantes legales con poderes de apoderados general y generalísimo </w:t>
            </w:r>
            <w:r w:rsidRPr="00BD2C5C">
              <w:rPr>
                <w:rFonts w:ascii="Arial" w:hAnsi="Arial" w:cs="Arial"/>
                <w:color w:val="000000" w:themeColor="text1"/>
                <w:lang w:eastAsia="es-CR"/>
              </w:rPr>
              <w:t>hasta que se encuentren debidamente inscritos en el Registro Público.</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FEF7EEA" w14:textId="77777777" w:rsidR="00115803" w:rsidRPr="00BD2C5C" w:rsidRDefault="00115803" w:rsidP="004C7398">
            <w:pPr>
              <w:jc w:val="center"/>
              <w:rPr>
                <w:rFonts w:ascii="Arial" w:hAnsi="Arial" w:cs="Arial"/>
                <w:color w:val="000000" w:themeColor="text1"/>
                <w:lang w:eastAsia="es-CR"/>
              </w:rPr>
            </w:pPr>
          </w:p>
        </w:tc>
        <w:tc>
          <w:tcPr>
            <w:tcW w:w="1701" w:type="dxa"/>
            <w:tcBorders>
              <w:top w:val="nil"/>
              <w:left w:val="nil"/>
              <w:bottom w:val="single" w:sz="4" w:space="0" w:color="auto"/>
              <w:right w:val="single" w:sz="4" w:space="0" w:color="auto"/>
            </w:tcBorders>
            <w:shd w:val="clear" w:color="auto" w:fill="auto"/>
            <w:vAlign w:val="center"/>
          </w:tcPr>
          <w:p w14:paraId="61E4AA1A" w14:textId="77777777" w:rsidR="00115803" w:rsidRPr="00BD2C5C" w:rsidRDefault="00115803" w:rsidP="004C7398">
            <w:pPr>
              <w:jc w:val="center"/>
              <w:rPr>
                <w:rFonts w:ascii="Arial" w:hAnsi="Arial" w:cs="Arial"/>
                <w:color w:val="000000" w:themeColor="text1"/>
                <w:lang w:eastAsia="es-CR"/>
              </w:rPr>
            </w:pPr>
          </w:p>
        </w:tc>
        <w:tc>
          <w:tcPr>
            <w:tcW w:w="1779" w:type="dxa"/>
            <w:tcBorders>
              <w:top w:val="nil"/>
              <w:left w:val="nil"/>
              <w:bottom w:val="single" w:sz="4" w:space="0" w:color="auto"/>
              <w:right w:val="single" w:sz="4" w:space="0" w:color="auto"/>
            </w:tcBorders>
            <w:shd w:val="clear" w:color="auto" w:fill="auto"/>
            <w:vAlign w:val="center"/>
          </w:tcPr>
          <w:p w14:paraId="1C5E9225"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color w:val="000000" w:themeColor="text1"/>
              </w:rPr>
              <w:t>X (Entidades diferentes a SAFIS)</w:t>
            </w:r>
          </w:p>
        </w:tc>
      </w:tr>
    </w:tbl>
    <w:p w14:paraId="2FD50597" w14:textId="77777777" w:rsidR="00115803" w:rsidRPr="00BD2C5C" w:rsidRDefault="00115803" w:rsidP="00115803">
      <w:pPr>
        <w:pStyle w:val="Prrafodelista"/>
        <w:spacing w:after="160" w:line="259" w:lineRule="auto"/>
        <w:ind w:left="1211"/>
        <w:jc w:val="both"/>
        <w:rPr>
          <w:rFonts w:ascii="Arial" w:hAnsi="Arial" w:cs="Arial"/>
        </w:rPr>
      </w:pPr>
    </w:p>
    <w:p w14:paraId="1A4447CD" w14:textId="77777777" w:rsidR="00115803" w:rsidRPr="00BD2C5C" w:rsidRDefault="00115803" w:rsidP="00115803">
      <w:pPr>
        <w:pStyle w:val="Prrafodelista"/>
        <w:spacing w:after="160" w:line="259" w:lineRule="auto"/>
        <w:ind w:left="1211"/>
        <w:jc w:val="both"/>
        <w:rPr>
          <w:rFonts w:ascii="Arial" w:hAnsi="Arial" w:cs="Arial"/>
        </w:rPr>
      </w:pPr>
    </w:p>
    <w:p w14:paraId="48834410" w14:textId="77777777" w:rsidR="00115803" w:rsidRPr="00BD2C5C" w:rsidRDefault="00115803" w:rsidP="00115803">
      <w:pPr>
        <w:pStyle w:val="Prrafodelista"/>
        <w:numPr>
          <w:ilvl w:val="0"/>
          <w:numId w:val="9"/>
        </w:numPr>
        <w:contextualSpacing w:val="0"/>
        <w:jc w:val="both"/>
        <w:rPr>
          <w:rFonts w:ascii="Arial" w:hAnsi="Arial" w:cs="Arial"/>
          <w:color w:val="000000" w:themeColor="text1"/>
          <w:lang w:eastAsia="es-CR"/>
        </w:rPr>
      </w:pPr>
      <w:r w:rsidRPr="00BD2C5C">
        <w:rPr>
          <w:rFonts w:ascii="Arial" w:hAnsi="Arial" w:cs="Arial"/>
          <w:color w:val="000000" w:themeColor="text1"/>
          <w:lang w:eastAsia="es-CR"/>
        </w:rPr>
        <w:t xml:space="preserve">Modificar el Anexo 1 específicamente el apartado denominado “Asuntos que afectan el desempeño económico y financiero de la Entidad o Fondo”, para que se lea: “Asuntos que afectan el desempeño económico, financiero y de negocio de la Entidad o Fondo”. </w:t>
      </w:r>
    </w:p>
    <w:p w14:paraId="6ED6E351" w14:textId="77777777" w:rsidR="00115803" w:rsidRPr="00BD2C5C" w:rsidRDefault="00115803" w:rsidP="00115803">
      <w:pPr>
        <w:pStyle w:val="Prrafodelista"/>
        <w:jc w:val="both"/>
        <w:rPr>
          <w:rFonts w:ascii="Arial" w:hAnsi="Arial" w:cs="Arial"/>
          <w:color w:val="000000" w:themeColor="text1"/>
          <w:lang w:eastAsia="es-CR"/>
        </w:rPr>
      </w:pPr>
    </w:p>
    <w:p w14:paraId="44DB7B88" w14:textId="77777777" w:rsidR="00115803" w:rsidRPr="00BD2C5C" w:rsidRDefault="00115803" w:rsidP="00115803">
      <w:pPr>
        <w:pStyle w:val="Prrafodelista"/>
        <w:numPr>
          <w:ilvl w:val="0"/>
          <w:numId w:val="9"/>
        </w:numPr>
        <w:contextualSpacing w:val="0"/>
        <w:jc w:val="both"/>
        <w:rPr>
          <w:rFonts w:ascii="Arial" w:hAnsi="Arial" w:cs="Arial"/>
          <w:color w:val="000000" w:themeColor="text1"/>
          <w:lang w:eastAsia="es-CR"/>
        </w:rPr>
      </w:pPr>
      <w:r w:rsidRPr="00BD2C5C">
        <w:rPr>
          <w:rFonts w:ascii="Arial" w:hAnsi="Arial" w:cs="Arial"/>
          <w:color w:val="000000" w:themeColor="text1"/>
          <w:lang w:eastAsia="es-CR"/>
        </w:rPr>
        <w:t>Eliminar los apartados de “Información financiera” y “Otros”.</w:t>
      </w:r>
    </w:p>
    <w:p w14:paraId="331EF9D5" w14:textId="77777777" w:rsidR="00115803" w:rsidRPr="00BD2C5C" w:rsidRDefault="00115803" w:rsidP="00115803">
      <w:pPr>
        <w:pStyle w:val="Prrafodelista"/>
        <w:rPr>
          <w:rFonts w:ascii="Arial" w:hAnsi="Arial" w:cs="Arial"/>
          <w:color w:val="000000" w:themeColor="text1"/>
          <w:lang w:eastAsia="es-CR"/>
        </w:rPr>
      </w:pPr>
    </w:p>
    <w:p w14:paraId="466329A9" w14:textId="77777777" w:rsidR="00115803" w:rsidRPr="00BD2C5C" w:rsidRDefault="00115803" w:rsidP="00115803">
      <w:pPr>
        <w:pStyle w:val="Prrafodelista"/>
        <w:numPr>
          <w:ilvl w:val="0"/>
          <w:numId w:val="9"/>
        </w:numPr>
        <w:contextualSpacing w:val="0"/>
        <w:jc w:val="both"/>
        <w:rPr>
          <w:rFonts w:ascii="Arial" w:hAnsi="Arial" w:cs="Arial"/>
          <w:color w:val="000000" w:themeColor="text1"/>
          <w:lang w:eastAsia="es-CR"/>
        </w:rPr>
      </w:pPr>
      <w:r w:rsidRPr="00BD2C5C">
        <w:rPr>
          <w:rFonts w:ascii="Arial" w:hAnsi="Arial" w:cs="Arial"/>
          <w:color w:val="000000" w:themeColor="text1"/>
          <w:lang w:eastAsia="es-CR"/>
        </w:rPr>
        <w:t>Incluir como parte del nuevo apartado de “Asuntos que afectan el desempeño económico, financiero y de negocio de la Entidad o Fondo”, los siguientes ítems:</w:t>
      </w:r>
    </w:p>
    <w:p w14:paraId="65420498" w14:textId="77777777" w:rsidR="00115803" w:rsidRPr="00BD2C5C" w:rsidRDefault="00115803" w:rsidP="00115803">
      <w:pPr>
        <w:pStyle w:val="Prrafodelista"/>
        <w:spacing w:after="160" w:line="259" w:lineRule="auto"/>
        <w:ind w:left="1211"/>
        <w:jc w:val="both"/>
        <w:rPr>
          <w:rFonts w:ascii="Arial" w:hAnsi="Arial" w:cs="Arial"/>
        </w:rPr>
      </w:pPr>
    </w:p>
    <w:tbl>
      <w:tblPr>
        <w:tblW w:w="9145" w:type="dxa"/>
        <w:tblCellMar>
          <w:left w:w="70" w:type="dxa"/>
          <w:right w:w="70" w:type="dxa"/>
        </w:tblCellMar>
        <w:tblLook w:val="04A0" w:firstRow="1" w:lastRow="0" w:firstColumn="1" w:lastColumn="0" w:noHBand="0" w:noVBand="1"/>
      </w:tblPr>
      <w:tblGrid>
        <w:gridCol w:w="4248"/>
        <w:gridCol w:w="1417"/>
        <w:gridCol w:w="1701"/>
        <w:gridCol w:w="1779"/>
      </w:tblGrid>
      <w:tr w:rsidR="00115803" w:rsidRPr="00BD2C5C" w14:paraId="49051565" w14:textId="77777777" w:rsidTr="004C7398">
        <w:trPr>
          <w:trHeight w:val="9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73102"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LISTA NO EXHAUSTIVA DE HECHOS RELEVANTES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DFE1E1"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EMISORES DE DEUDA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E971DE"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EMISORES DE VALORES DE CONTENIDO PATRIMONIAL O MIXTO</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14:paraId="2FC238AD"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OTROS</w:t>
            </w:r>
          </w:p>
        </w:tc>
      </w:tr>
      <w:tr w:rsidR="00115803" w:rsidRPr="00BD2C5C" w14:paraId="35597BE5" w14:textId="77777777" w:rsidTr="004C7398">
        <w:trPr>
          <w:trHeight w:val="420"/>
        </w:trPr>
        <w:tc>
          <w:tcPr>
            <w:tcW w:w="9145" w:type="dxa"/>
            <w:gridSpan w:val="4"/>
            <w:tcBorders>
              <w:top w:val="nil"/>
              <w:left w:val="single" w:sz="4" w:space="0" w:color="auto"/>
              <w:bottom w:val="single" w:sz="4" w:space="0" w:color="auto"/>
              <w:right w:val="single" w:sz="4" w:space="0" w:color="auto"/>
            </w:tcBorders>
            <w:shd w:val="clear" w:color="auto" w:fill="B4C6E7"/>
            <w:vAlign w:val="center"/>
            <w:hideMark/>
          </w:tcPr>
          <w:p w14:paraId="6312A7A5" w14:textId="77777777" w:rsidR="00115803" w:rsidRPr="00BD2C5C" w:rsidRDefault="00115803" w:rsidP="004C7398">
            <w:pPr>
              <w:jc w:val="center"/>
              <w:rPr>
                <w:rFonts w:ascii="Arial" w:hAnsi="Arial" w:cs="Arial"/>
                <w:b/>
                <w:bCs/>
                <w:color w:val="000000" w:themeColor="text1"/>
                <w:lang w:eastAsia="es-CR"/>
              </w:rPr>
            </w:pPr>
            <w:r w:rsidRPr="00BD2C5C">
              <w:rPr>
                <w:rFonts w:ascii="Arial" w:hAnsi="Arial" w:cs="Arial"/>
                <w:b/>
                <w:bCs/>
                <w:color w:val="000000" w:themeColor="text1"/>
                <w:lang w:eastAsia="es-CR"/>
              </w:rPr>
              <w:t xml:space="preserve">Asuntos que afectan el desempeño económico, financiero y de negocio de la </w:t>
            </w:r>
          </w:p>
          <w:p w14:paraId="5DB64A9E" w14:textId="77777777" w:rsidR="00115803" w:rsidRPr="00BD2C5C" w:rsidRDefault="00115803" w:rsidP="004C7398">
            <w:pPr>
              <w:jc w:val="center"/>
              <w:rPr>
                <w:rFonts w:ascii="Arial" w:hAnsi="Arial" w:cs="Arial"/>
                <w:color w:val="000000" w:themeColor="text1"/>
                <w:lang w:eastAsia="es-CR"/>
              </w:rPr>
            </w:pPr>
            <w:r w:rsidRPr="00BD2C5C">
              <w:rPr>
                <w:rFonts w:ascii="Arial" w:hAnsi="Arial" w:cs="Arial"/>
                <w:b/>
                <w:bCs/>
                <w:color w:val="000000" w:themeColor="text1"/>
                <w:lang w:eastAsia="es-CR"/>
              </w:rPr>
              <w:t>Entidad o Fondo</w:t>
            </w:r>
            <w:r w:rsidRPr="00BD2C5C">
              <w:rPr>
                <w:rFonts w:ascii="Arial" w:hAnsi="Arial" w:cs="Arial"/>
                <w:color w:val="000000" w:themeColor="text1"/>
                <w:lang w:eastAsia="es-CR"/>
              </w:rPr>
              <w:t> </w:t>
            </w:r>
          </w:p>
        </w:tc>
      </w:tr>
      <w:tr w:rsidR="00115803" w:rsidRPr="00BD2C5C" w14:paraId="5A58422E" w14:textId="77777777" w:rsidTr="004C7398">
        <w:trPr>
          <w:trHeight w:val="1065"/>
        </w:trPr>
        <w:tc>
          <w:tcPr>
            <w:tcW w:w="4248" w:type="dxa"/>
            <w:tcBorders>
              <w:top w:val="nil"/>
              <w:left w:val="single" w:sz="4" w:space="0" w:color="auto"/>
              <w:bottom w:val="single" w:sz="4" w:space="0" w:color="auto"/>
              <w:right w:val="single" w:sz="4" w:space="0" w:color="auto"/>
            </w:tcBorders>
            <w:hideMark/>
          </w:tcPr>
          <w:p w14:paraId="44F2DAA1" w14:textId="77777777" w:rsidR="00115803" w:rsidRPr="00BD2C5C" w:rsidRDefault="00115803" w:rsidP="004C7398">
            <w:pPr>
              <w:jc w:val="both"/>
              <w:rPr>
                <w:rFonts w:ascii="Arial" w:hAnsi="Arial" w:cs="Arial"/>
                <w:color w:val="000000" w:themeColor="text1"/>
                <w:lang w:eastAsia="es-CR"/>
              </w:rPr>
            </w:pPr>
            <w:r w:rsidRPr="00BD2C5C">
              <w:rPr>
                <w:rFonts w:ascii="Arial" w:hAnsi="Arial" w:cs="Arial"/>
                <w:color w:val="000000" w:themeColor="text1"/>
              </w:rPr>
              <w:lastRenderedPageBreak/>
              <w:t xml:space="preserve">Prórrogas aprobadas para la presentación de la información periódica o actualización del prospecto, con indicación del plazo otorgado para su presentación. </w:t>
            </w:r>
          </w:p>
        </w:tc>
        <w:tc>
          <w:tcPr>
            <w:tcW w:w="1417" w:type="dxa"/>
            <w:tcBorders>
              <w:top w:val="nil"/>
              <w:left w:val="nil"/>
              <w:bottom w:val="single" w:sz="4" w:space="0" w:color="auto"/>
              <w:right w:val="single" w:sz="4" w:space="0" w:color="auto"/>
            </w:tcBorders>
            <w:vAlign w:val="center"/>
            <w:hideMark/>
          </w:tcPr>
          <w:p w14:paraId="33BA358B"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01" w:type="dxa"/>
            <w:tcBorders>
              <w:top w:val="nil"/>
              <w:left w:val="nil"/>
              <w:bottom w:val="single" w:sz="4" w:space="0" w:color="auto"/>
              <w:right w:val="single" w:sz="4" w:space="0" w:color="auto"/>
            </w:tcBorders>
            <w:vAlign w:val="center"/>
            <w:hideMark/>
          </w:tcPr>
          <w:p w14:paraId="09A4F449"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79" w:type="dxa"/>
            <w:tcBorders>
              <w:top w:val="nil"/>
              <w:left w:val="nil"/>
              <w:bottom w:val="single" w:sz="4" w:space="0" w:color="auto"/>
              <w:right w:val="single" w:sz="4" w:space="0" w:color="auto"/>
            </w:tcBorders>
            <w:vAlign w:val="center"/>
            <w:hideMark/>
          </w:tcPr>
          <w:p w14:paraId="183C3F62"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r>
      <w:tr w:rsidR="00115803" w:rsidRPr="00BD2C5C" w14:paraId="555DEE62" w14:textId="77777777" w:rsidTr="004C7398">
        <w:trPr>
          <w:trHeight w:val="825"/>
        </w:trPr>
        <w:tc>
          <w:tcPr>
            <w:tcW w:w="4248" w:type="dxa"/>
            <w:tcBorders>
              <w:top w:val="single" w:sz="4" w:space="0" w:color="auto"/>
              <w:left w:val="single" w:sz="4" w:space="0" w:color="auto"/>
              <w:bottom w:val="single" w:sz="4" w:space="0" w:color="auto"/>
              <w:right w:val="single" w:sz="4" w:space="0" w:color="auto"/>
            </w:tcBorders>
            <w:hideMark/>
          </w:tcPr>
          <w:p w14:paraId="06EFC5AB" w14:textId="77777777" w:rsidR="00115803" w:rsidRPr="00BD2C5C" w:rsidRDefault="00115803" w:rsidP="004C7398">
            <w:pPr>
              <w:jc w:val="both"/>
              <w:rPr>
                <w:rFonts w:ascii="Arial" w:hAnsi="Arial" w:cs="Arial"/>
                <w:color w:val="000000" w:themeColor="text1"/>
                <w:lang w:eastAsia="es-CR"/>
              </w:rPr>
            </w:pPr>
            <w:r w:rsidRPr="00BD2C5C">
              <w:rPr>
                <w:rFonts w:ascii="Arial" w:hAnsi="Arial" w:cs="Arial"/>
                <w:color w:val="000000" w:themeColor="text1"/>
              </w:rPr>
              <w:t>Atrasos en la presentación de Información periódica, con indicación de la fecha prevista de presentación.</w:t>
            </w:r>
          </w:p>
        </w:tc>
        <w:tc>
          <w:tcPr>
            <w:tcW w:w="1417" w:type="dxa"/>
            <w:tcBorders>
              <w:top w:val="single" w:sz="4" w:space="0" w:color="auto"/>
              <w:left w:val="nil"/>
              <w:bottom w:val="single" w:sz="4" w:space="0" w:color="auto"/>
              <w:right w:val="single" w:sz="4" w:space="0" w:color="auto"/>
            </w:tcBorders>
            <w:vAlign w:val="center"/>
            <w:hideMark/>
          </w:tcPr>
          <w:p w14:paraId="377ED443"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vAlign w:val="center"/>
            <w:hideMark/>
          </w:tcPr>
          <w:p w14:paraId="17A1EF73"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vAlign w:val="center"/>
            <w:hideMark/>
          </w:tcPr>
          <w:p w14:paraId="3A6BD1D7"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r>
      <w:tr w:rsidR="00115803" w:rsidRPr="00BD2C5C" w14:paraId="26D1D098" w14:textId="77777777" w:rsidTr="004C7398">
        <w:trPr>
          <w:trHeight w:val="1485"/>
        </w:trPr>
        <w:tc>
          <w:tcPr>
            <w:tcW w:w="4248" w:type="dxa"/>
            <w:tcBorders>
              <w:top w:val="single" w:sz="4" w:space="0" w:color="auto"/>
              <w:left w:val="single" w:sz="4" w:space="0" w:color="auto"/>
              <w:bottom w:val="single" w:sz="4" w:space="0" w:color="auto"/>
              <w:right w:val="single" w:sz="4" w:space="0" w:color="auto"/>
            </w:tcBorders>
            <w:hideMark/>
          </w:tcPr>
          <w:p w14:paraId="0F8F182C" w14:textId="77777777" w:rsidR="00115803" w:rsidRPr="00BD2C5C" w:rsidRDefault="00115803" w:rsidP="004C7398">
            <w:pPr>
              <w:jc w:val="both"/>
              <w:rPr>
                <w:rFonts w:ascii="Arial" w:hAnsi="Arial" w:cs="Arial"/>
                <w:color w:val="000000" w:themeColor="text1"/>
                <w:lang w:eastAsia="es-CR"/>
              </w:rPr>
            </w:pPr>
            <w:r w:rsidRPr="00BD2C5C">
              <w:rPr>
                <w:rFonts w:ascii="Arial" w:hAnsi="Arial" w:cs="Arial"/>
                <w:color w:val="000000" w:themeColor="text1"/>
              </w:rPr>
              <w:t>Sustitución o reenvío de información periódica trimestral y anual de emisores no financieros  e información mensual, trimestral y anual de los fondos de inversión, con indicación de: el nombre del regulado, el nombre del reporte, la fecha de corte del reporte que se sustituye y el motivo de la sustitución.</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7F9EF90B"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10C50985"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shd w:val="clear" w:color="auto" w:fill="FFFFFF"/>
            <w:vAlign w:val="center"/>
            <w:hideMark/>
          </w:tcPr>
          <w:p w14:paraId="720AE3CB"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 </w:t>
            </w:r>
          </w:p>
        </w:tc>
      </w:tr>
      <w:tr w:rsidR="00115803" w:rsidRPr="00BD2C5C" w14:paraId="27E32AA2" w14:textId="77777777" w:rsidTr="004C7398">
        <w:trPr>
          <w:trHeight w:val="795"/>
        </w:trPr>
        <w:tc>
          <w:tcPr>
            <w:tcW w:w="4248" w:type="dxa"/>
            <w:tcBorders>
              <w:top w:val="single" w:sz="4" w:space="0" w:color="auto"/>
              <w:left w:val="single" w:sz="4" w:space="0" w:color="auto"/>
              <w:bottom w:val="single" w:sz="4" w:space="0" w:color="auto"/>
              <w:right w:val="single" w:sz="4" w:space="0" w:color="auto"/>
            </w:tcBorders>
            <w:hideMark/>
          </w:tcPr>
          <w:p w14:paraId="5A3C15C8" w14:textId="77777777" w:rsidR="00115803" w:rsidRPr="00BD2C5C" w:rsidRDefault="00115803" w:rsidP="004C7398">
            <w:pPr>
              <w:jc w:val="both"/>
              <w:rPr>
                <w:rFonts w:ascii="Arial" w:hAnsi="Arial" w:cs="Arial"/>
                <w:color w:val="000000" w:themeColor="text1"/>
                <w:lang w:eastAsia="es-CR"/>
              </w:rPr>
            </w:pPr>
            <w:r w:rsidRPr="00BD2C5C">
              <w:rPr>
                <w:rFonts w:ascii="Arial" w:hAnsi="Arial" w:cs="Arial"/>
                <w:color w:val="000000" w:themeColor="text1"/>
              </w:rPr>
              <w:t xml:space="preserve"> Cambios en las políticas contables utilizados, cuando se trate de una decisión  de la entidad y no de una disposición de carácter general.</w:t>
            </w:r>
          </w:p>
        </w:tc>
        <w:tc>
          <w:tcPr>
            <w:tcW w:w="1417" w:type="dxa"/>
            <w:tcBorders>
              <w:top w:val="single" w:sz="4" w:space="0" w:color="auto"/>
              <w:left w:val="nil"/>
              <w:bottom w:val="single" w:sz="4" w:space="0" w:color="auto"/>
              <w:right w:val="single" w:sz="4" w:space="0" w:color="auto"/>
            </w:tcBorders>
            <w:vAlign w:val="center"/>
            <w:hideMark/>
          </w:tcPr>
          <w:p w14:paraId="4E1C8D32"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vAlign w:val="center"/>
            <w:hideMark/>
          </w:tcPr>
          <w:p w14:paraId="38619473"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vAlign w:val="center"/>
            <w:hideMark/>
          </w:tcPr>
          <w:p w14:paraId="1288DF17"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 </w:t>
            </w:r>
          </w:p>
        </w:tc>
      </w:tr>
      <w:tr w:rsidR="00115803" w:rsidRPr="00BD2C5C" w14:paraId="3C0173F4" w14:textId="77777777" w:rsidTr="004C7398">
        <w:trPr>
          <w:trHeight w:val="795"/>
        </w:trPr>
        <w:tc>
          <w:tcPr>
            <w:tcW w:w="4248" w:type="dxa"/>
            <w:tcBorders>
              <w:top w:val="single" w:sz="4" w:space="0" w:color="auto"/>
              <w:left w:val="single" w:sz="4" w:space="0" w:color="auto"/>
              <w:bottom w:val="single" w:sz="4" w:space="0" w:color="auto"/>
              <w:right w:val="single" w:sz="4" w:space="0" w:color="auto"/>
            </w:tcBorders>
            <w:hideMark/>
          </w:tcPr>
          <w:p w14:paraId="50E741F2" w14:textId="77777777" w:rsidR="00115803" w:rsidRPr="00BD2C5C" w:rsidRDefault="00115803" w:rsidP="004C7398">
            <w:pPr>
              <w:jc w:val="both"/>
              <w:rPr>
                <w:rFonts w:ascii="Arial" w:hAnsi="Arial" w:cs="Arial"/>
                <w:color w:val="000000" w:themeColor="text1"/>
              </w:rPr>
            </w:pPr>
            <w:r w:rsidRPr="00BD2C5C">
              <w:rPr>
                <w:rFonts w:ascii="Arial" w:hAnsi="Arial" w:cs="Arial"/>
                <w:color w:val="000000" w:themeColor="text1"/>
              </w:rPr>
              <w:t xml:space="preserve">Las entidades autorizadas para actuar en la prestación de servicios en el mercado de valores, respecto a todo hecho concreto o situación no habitual que por su importancia esté afectando o pueda esperarse razonablemente que afecte el desenvolvimiento de sus operaciones o responsabilidades frente a los servicios que presta. </w:t>
            </w:r>
          </w:p>
        </w:tc>
        <w:tc>
          <w:tcPr>
            <w:tcW w:w="1417" w:type="dxa"/>
            <w:tcBorders>
              <w:top w:val="single" w:sz="4" w:space="0" w:color="auto"/>
              <w:left w:val="nil"/>
              <w:bottom w:val="single" w:sz="4" w:space="0" w:color="auto"/>
              <w:right w:val="single" w:sz="4" w:space="0" w:color="auto"/>
            </w:tcBorders>
            <w:vAlign w:val="center"/>
            <w:hideMark/>
          </w:tcPr>
          <w:p w14:paraId="52D9CA7D" w14:textId="77777777" w:rsidR="00115803" w:rsidRPr="00BD2C5C" w:rsidRDefault="00115803" w:rsidP="004C7398">
            <w:pPr>
              <w:jc w:val="center"/>
              <w:rPr>
                <w:rFonts w:ascii="Arial" w:hAnsi="Arial" w:cs="Arial"/>
                <w:color w:val="000000" w:themeColor="text1"/>
              </w:rPr>
            </w:pPr>
          </w:p>
        </w:tc>
        <w:tc>
          <w:tcPr>
            <w:tcW w:w="1701" w:type="dxa"/>
            <w:tcBorders>
              <w:top w:val="single" w:sz="4" w:space="0" w:color="auto"/>
              <w:left w:val="nil"/>
              <w:bottom w:val="single" w:sz="4" w:space="0" w:color="auto"/>
              <w:right w:val="single" w:sz="4" w:space="0" w:color="auto"/>
            </w:tcBorders>
            <w:vAlign w:val="center"/>
            <w:hideMark/>
          </w:tcPr>
          <w:p w14:paraId="0839F4A1" w14:textId="77777777" w:rsidR="00115803" w:rsidRPr="00BD2C5C" w:rsidRDefault="00115803" w:rsidP="004C7398">
            <w:pPr>
              <w:jc w:val="center"/>
              <w:rPr>
                <w:rFonts w:ascii="Arial" w:hAnsi="Arial" w:cs="Arial"/>
                <w:color w:val="000000" w:themeColor="text1"/>
              </w:rPr>
            </w:pPr>
          </w:p>
        </w:tc>
        <w:tc>
          <w:tcPr>
            <w:tcW w:w="1779" w:type="dxa"/>
            <w:tcBorders>
              <w:top w:val="single" w:sz="4" w:space="0" w:color="auto"/>
              <w:left w:val="nil"/>
              <w:bottom w:val="single" w:sz="4" w:space="0" w:color="auto"/>
              <w:right w:val="single" w:sz="4" w:space="0" w:color="auto"/>
            </w:tcBorders>
            <w:vAlign w:val="center"/>
            <w:hideMark/>
          </w:tcPr>
          <w:p w14:paraId="326A8873"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r>
      <w:tr w:rsidR="00115803" w:rsidRPr="00BD2C5C" w14:paraId="06D99180" w14:textId="77777777" w:rsidTr="004C7398">
        <w:trPr>
          <w:trHeight w:val="795"/>
        </w:trPr>
        <w:tc>
          <w:tcPr>
            <w:tcW w:w="4248" w:type="dxa"/>
            <w:tcBorders>
              <w:top w:val="single" w:sz="4" w:space="0" w:color="auto"/>
              <w:left w:val="single" w:sz="4" w:space="0" w:color="auto"/>
              <w:bottom w:val="single" w:sz="4" w:space="0" w:color="auto"/>
              <w:right w:val="single" w:sz="4" w:space="0" w:color="auto"/>
            </w:tcBorders>
            <w:hideMark/>
          </w:tcPr>
          <w:p w14:paraId="1ECA18C1" w14:textId="77777777" w:rsidR="00115803" w:rsidRPr="00BD2C5C" w:rsidRDefault="00115803" w:rsidP="004C7398">
            <w:pPr>
              <w:jc w:val="both"/>
              <w:rPr>
                <w:rFonts w:ascii="Arial" w:hAnsi="Arial" w:cs="Arial"/>
                <w:color w:val="000000" w:themeColor="text1"/>
              </w:rPr>
            </w:pPr>
            <w:r w:rsidRPr="00BD2C5C">
              <w:rPr>
                <w:rFonts w:ascii="Arial" w:hAnsi="Arial" w:cs="Arial"/>
                <w:color w:val="000000" w:themeColor="text1"/>
              </w:rPr>
              <w:t>Desinscripción de un puesto de bolsa, sociedad titularizadora, sociedad de compensación y liquidación, sociedades calificadoras de riesgo</w:t>
            </w:r>
          </w:p>
        </w:tc>
        <w:tc>
          <w:tcPr>
            <w:tcW w:w="1417" w:type="dxa"/>
            <w:tcBorders>
              <w:top w:val="single" w:sz="4" w:space="0" w:color="auto"/>
              <w:left w:val="nil"/>
              <w:bottom w:val="single" w:sz="4" w:space="0" w:color="auto"/>
              <w:right w:val="single" w:sz="4" w:space="0" w:color="auto"/>
            </w:tcBorders>
            <w:vAlign w:val="center"/>
            <w:hideMark/>
          </w:tcPr>
          <w:p w14:paraId="4A247808" w14:textId="77777777" w:rsidR="00115803" w:rsidRPr="00BD2C5C" w:rsidRDefault="00115803" w:rsidP="004C7398">
            <w:pPr>
              <w:jc w:val="center"/>
              <w:rPr>
                <w:rFonts w:ascii="Arial" w:hAnsi="Arial" w:cs="Arial"/>
                <w:color w:val="000000" w:themeColor="text1"/>
              </w:rPr>
            </w:pPr>
          </w:p>
        </w:tc>
        <w:tc>
          <w:tcPr>
            <w:tcW w:w="1701" w:type="dxa"/>
            <w:tcBorders>
              <w:top w:val="single" w:sz="4" w:space="0" w:color="auto"/>
              <w:left w:val="nil"/>
              <w:bottom w:val="single" w:sz="4" w:space="0" w:color="auto"/>
              <w:right w:val="single" w:sz="4" w:space="0" w:color="auto"/>
            </w:tcBorders>
            <w:vAlign w:val="center"/>
            <w:hideMark/>
          </w:tcPr>
          <w:p w14:paraId="741DB587" w14:textId="77777777" w:rsidR="00115803" w:rsidRPr="00BD2C5C" w:rsidRDefault="00115803" w:rsidP="004C7398">
            <w:pPr>
              <w:jc w:val="center"/>
              <w:rPr>
                <w:rFonts w:ascii="Arial" w:hAnsi="Arial" w:cs="Arial"/>
                <w:color w:val="000000" w:themeColor="text1"/>
              </w:rPr>
            </w:pPr>
          </w:p>
        </w:tc>
        <w:tc>
          <w:tcPr>
            <w:tcW w:w="1779" w:type="dxa"/>
            <w:tcBorders>
              <w:top w:val="single" w:sz="4" w:space="0" w:color="auto"/>
              <w:left w:val="nil"/>
              <w:bottom w:val="single" w:sz="4" w:space="0" w:color="auto"/>
              <w:right w:val="single" w:sz="4" w:space="0" w:color="auto"/>
            </w:tcBorders>
            <w:vAlign w:val="center"/>
            <w:hideMark/>
          </w:tcPr>
          <w:p w14:paraId="32C9E817"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r>
      <w:tr w:rsidR="00115803" w:rsidRPr="00BD2C5C" w14:paraId="3B3976BD" w14:textId="77777777" w:rsidTr="004C7398">
        <w:trPr>
          <w:trHeight w:val="795"/>
        </w:trPr>
        <w:tc>
          <w:tcPr>
            <w:tcW w:w="4248" w:type="dxa"/>
            <w:tcBorders>
              <w:top w:val="single" w:sz="4" w:space="0" w:color="auto"/>
              <w:left w:val="single" w:sz="4" w:space="0" w:color="auto"/>
              <w:bottom w:val="single" w:sz="4" w:space="0" w:color="auto"/>
              <w:right w:val="single" w:sz="4" w:space="0" w:color="auto"/>
            </w:tcBorders>
            <w:hideMark/>
          </w:tcPr>
          <w:p w14:paraId="63AF987D" w14:textId="77777777" w:rsidR="00115803" w:rsidRPr="00BD2C5C" w:rsidRDefault="00115803" w:rsidP="004C7398">
            <w:pPr>
              <w:jc w:val="both"/>
              <w:rPr>
                <w:rFonts w:ascii="Arial" w:hAnsi="Arial" w:cs="Arial"/>
                <w:color w:val="000000" w:themeColor="text1"/>
              </w:rPr>
            </w:pPr>
            <w:r w:rsidRPr="00BD2C5C">
              <w:rPr>
                <w:rFonts w:ascii="Arial" w:hAnsi="Arial" w:cs="Arial"/>
                <w:color w:val="000000" w:themeColor="text1"/>
              </w:rPr>
              <w:t xml:space="preserve">Cualquier otro hecho que produzca o pueda producir influencia positiva o negativa en la marcha de la empresa, en sus valores o en la oferta de ellos. </w:t>
            </w:r>
          </w:p>
        </w:tc>
        <w:tc>
          <w:tcPr>
            <w:tcW w:w="1417" w:type="dxa"/>
            <w:tcBorders>
              <w:top w:val="single" w:sz="4" w:space="0" w:color="auto"/>
              <w:left w:val="nil"/>
              <w:bottom w:val="single" w:sz="4" w:space="0" w:color="auto"/>
              <w:right w:val="single" w:sz="4" w:space="0" w:color="auto"/>
            </w:tcBorders>
            <w:vAlign w:val="center"/>
            <w:hideMark/>
          </w:tcPr>
          <w:p w14:paraId="6279EE11"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01" w:type="dxa"/>
            <w:tcBorders>
              <w:top w:val="single" w:sz="4" w:space="0" w:color="auto"/>
              <w:left w:val="nil"/>
              <w:bottom w:val="single" w:sz="4" w:space="0" w:color="auto"/>
              <w:right w:val="single" w:sz="4" w:space="0" w:color="auto"/>
            </w:tcBorders>
            <w:vAlign w:val="center"/>
            <w:hideMark/>
          </w:tcPr>
          <w:p w14:paraId="7AAEE946"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c>
          <w:tcPr>
            <w:tcW w:w="1779" w:type="dxa"/>
            <w:tcBorders>
              <w:top w:val="single" w:sz="4" w:space="0" w:color="auto"/>
              <w:left w:val="nil"/>
              <w:bottom w:val="single" w:sz="4" w:space="0" w:color="auto"/>
              <w:right w:val="single" w:sz="4" w:space="0" w:color="auto"/>
            </w:tcBorders>
            <w:vAlign w:val="center"/>
            <w:hideMark/>
          </w:tcPr>
          <w:p w14:paraId="2338203D"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rPr>
              <w:t>X</w:t>
            </w:r>
          </w:p>
        </w:tc>
      </w:tr>
    </w:tbl>
    <w:p w14:paraId="268CFB71" w14:textId="77777777" w:rsidR="00115803" w:rsidRPr="00BD2C5C" w:rsidRDefault="00115803" w:rsidP="00115803">
      <w:pPr>
        <w:spacing w:after="160" w:line="259" w:lineRule="auto"/>
        <w:contextualSpacing/>
        <w:jc w:val="both"/>
        <w:rPr>
          <w:rFonts w:ascii="Arial" w:hAnsi="Arial" w:cs="Arial"/>
        </w:rPr>
      </w:pPr>
    </w:p>
    <w:p w14:paraId="0996DC2C" w14:textId="77777777" w:rsidR="00115803" w:rsidRPr="00BD2C5C" w:rsidRDefault="00115803" w:rsidP="00115803">
      <w:pPr>
        <w:pStyle w:val="Prrafodelista"/>
        <w:numPr>
          <w:ilvl w:val="0"/>
          <w:numId w:val="9"/>
        </w:numPr>
        <w:contextualSpacing w:val="0"/>
        <w:jc w:val="both"/>
        <w:rPr>
          <w:rFonts w:ascii="Arial" w:hAnsi="Arial" w:cs="Arial"/>
          <w:color w:val="000000" w:themeColor="text1"/>
          <w:lang w:eastAsia="es-CR"/>
        </w:rPr>
      </w:pPr>
      <w:r w:rsidRPr="00BD2C5C">
        <w:rPr>
          <w:rFonts w:ascii="Arial" w:hAnsi="Arial" w:cs="Arial"/>
          <w:color w:val="000000" w:themeColor="text1"/>
          <w:lang w:eastAsia="es-CR"/>
        </w:rPr>
        <w:t>Modificar el Anexo relacionados con los comunicados de interés:</w:t>
      </w:r>
    </w:p>
    <w:p w14:paraId="7B892759" w14:textId="77777777" w:rsidR="00115803" w:rsidRPr="00BD2C5C" w:rsidRDefault="00115803" w:rsidP="00115803">
      <w:pPr>
        <w:spacing w:after="160" w:line="259" w:lineRule="auto"/>
        <w:contextualSpacing/>
        <w:jc w:val="both"/>
        <w:rPr>
          <w:rFonts w:ascii="Arial" w:hAnsi="Arial" w:cs="Arial"/>
        </w:rPr>
      </w:pPr>
    </w:p>
    <w:p w14:paraId="57B77758" w14:textId="77777777" w:rsidR="00115803" w:rsidRPr="00BD2C5C" w:rsidRDefault="00115803" w:rsidP="00115803">
      <w:pPr>
        <w:spacing w:after="160" w:line="259" w:lineRule="auto"/>
        <w:contextualSpacing/>
        <w:jc w:val="both"/>
        <w:rPr>
          <w:rFonts w:ascii="Arial" w:hAnsi="Arial" w:cs="Arial"/>
        </w:rPr>
      </w:pPr>
    </w:p>
    <w:tbl>
      <w:tblPr>
        <w:tblW w:w="9145" w:type="dxa"/>
        <w:tblCellMar>
          <w:left w:w="70" w:type="dxa"/>
          <w:right w:w="70" w:type="dxa"/>
        </w:tblCellMar>
        <w:tblLook w:val="04A0" w:firstRow="1" w:lastRow="0" w:firstColumn="1" w:lastColumn="0" w:noHBand="0" w:noVBand="1"/>
      </w:tblPr>
      <w:tblGrid>
        <w:gridCol w:w="4248"/>
        <w:gridCol w:w="1417"/>
        <w:gridCol w:w="1701"/>
        <w:gridCol w:w="1779"/>
      </w:tblGrid>
      <w:tr w:rsidR="00115803" w:rsidRPr="00BD2C5C" w14:paraId="39CDA8CD" w14:textId="77777777" w:rsidTr="004C7398">
        <w:trPr>
          <w:trHeight w:val="9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A481B" w14:textId="77777777" w:rsidR="00115803" w:rsidRPr="00BD2C5C" w:rsidRDefault="00115803" w:rsidP="004C7398">
            <w:pPr>
              <w:jc w:val="center"/>
              <w:rPr>
                <w:rFonts w:ascii="Arial" w:hAnsi="Arial" w:cs="Arial"/>
                <w:b/>
                <w:bCs/>
                <w:color w:val="0070C0"/>
                <w:lang w:eastAsia="es-CR"/>
              </w:rPr>
            </w:pPr>
            <w:r w:rsidRPr="00BD2C5C">
              <w:rPr>
                <w:rFonts w:ascii="Arial" w:hAnsi="Arial" w:cs="Arial"/>
                <w:b/>
                <w:bCs/>
                <w:color w:val="000000" w:themeColor="text1"/>
                <w:sz w:val="20"/>
                <w:szCs w:val="20"/>
              </w:rPr>
              <w:t>LISTA NO EXHAUSTIVA DE COMUNICADOS DE INTERES</w:t>
            </w:r>
          </w:p>
        </w:tc>
        <w:tc>
          <w:tcPr>
            <w:tcW w:w="1417" w:type="dxa"/>
            <w:tcBorders>
              <w:top w:val="single" w:sz="4" w:space="0" w:color="auto"/>
              <w:left w:val="nil"/>
              <w:bottom w:val="single" w:sz="4" w:space="0" w:color="auto"/>
              <w:right w:val="single" w:sz="4" w:space="0" w:color="auto"/>
            </w:tcBorders>
            <w:shd w:val="clear" w:color="auto" w:fill="auto"/>
            <w:hideMark/>
          </w:tcPr>
          <w:p w14:paraId="6C5D052E" w14:textId="77777777" w:rsidR="00115803" w:rsidRPr="00BD2C5C" w:rsidRDefault="00115803" w:rsidP="004C7398">
            <w:pPr>
              <w:jc w:val="center"/>
              <w:rPr>
                <w:rFonts w:ascii="Arial" w:hAnsi="Arial" w:cs="Arial"/>
                <w:b/>
                <w:bCs/>
                <w:color w:val="0070C0"/>
                <w:lang w:eastAsia="es-CR"/>
              </w:rPr>
            </w:pPr>
            <w:r w:rsidRPr="00BD2C5C">
              <w:rPr>
                <w:rFonts w:ascii="Arial" w:hAnsi="Arial" w:cs="Arial"/>
                <w:b/>
                <w:bCs/>
                <w:color w:val="000000" w:themeColor="text1"/>
                <w:sz w:val="20"/>
                <w:szCs w:val="20"/>
              </w:rPr>
              <w:t>EMISORES DE DEUDA</w:t>
            </w:r>
          </w:p>
        </w:tc>
        <w:tc>
          <w:tcPr>
            <w:tcW w:w="1701" w:type="dxa"/>
            <w:tcBorders>
              <w:top w:val="single" w:sz="4" w:space="0" w:color="auto"/>
              <w:left w:val="nil"/>
              <w:bottom w:val="single" w:sz="4" w:space="0" w:color="auto"/>
              <w:right w:val="single" w:sz="4" w:space="0" w:color="auto"/>
            </w:tcBorders>
            <w:shd w:val="clear" w:color="auto" w:fill="auto"/>
            <w:hideMark/>
          </w:tcPr>
          <w:p w14:paraId="479C9997" w14:textId="77777777" w:rsidR="00115803" w:rsidRPr="00BD2C5C" w:rsidRDefault="00115803" w:rsidP="004C7398">
            <w:pPr>
              <w:jc w:val="center"/>
              <w:rPr>
                <w:rFonts w:ascii="Arial" w:hAnsi="Arial" w:cs="Arial"/>
                <w:b/>
                <w:bCs/>
                <w:color w:val="0070C0"/>
                <w:lang w:eastAsia="es-CR"/>
              </w:rPr>
            </w:pPr>
            <w:r w:rsidRPr="00BD2C5C">
              <w:rPr>
                <w:rFonts w:ascii="Arial" w:hAnsi="Arial" w:cs="Arial"/>
                <w:b/>
                <w:bCs/>
                <w:color w:val="000000" w:themeColor="text1"/>
                <w:sz w:val="20"/>
                <w:szCs w:val="20"/>
              </w:rPr>
              <w:t>EMISORES DE VALORES DE CONTENIDO PATRIMONIAL O MIXTO</w:t>
            </w:r>
          </w:p>
        </w:tc>
        <w:tc>
          <w:tcPr>
            <w:tcW w:w="1779" w:type="dxa"/>
            <w:tcBorders>
              <w:top w:val="single" w:sz="4" w:space="0" w:color="auto"/>
              <w:left w:val="nil"/>
              <w:bottom w:val="single" w:sz="4" w:space="0" w:color="auto"/>
              <w:right w:val="single" w:sz="4" w:space="0" w:color="auto"/>
            </w:tcBorders>
            <w:shd w:val="clear" w:color="000000" w:fill="FFFFFF"/>
            <w:hideMark/>
          </w:tcPr>
          <w:p w14:paraId="5DBD14A3" w14:textId="77777777" w:rsidR="00115803" w:rsidRPr="00BD2C5C" w:rsidRDefault="00115803" w:rsidP="004C7398">
            <w:pPr>
              <w:jc w:val="center"/>
              <w:rPr>
                <w:rFonts w:ascii="Arial" w:hAnsi="Arial" w:cs="Arial"/>
                <w:b/>
                <w:bCs/>
                <w:color w:val="0070C0"/>
                <w:lang w:eastAsia="es-CR"/>
              </w:rPr>
            </w:pPr>
            <w:r w:rsidRPr="00BD2C5C">
              <w:rPr>
                <w:rFonts w:ascii="Arial" w:hAnsi="Arial" w:cs="Arial"/>
                <w:b/>
                <w:bCs/>
                <w:color w:val="000000" w:themeColor="text1"/>
                <w:sz w:val="20"/>
                <w:szCs w:val="20"/>
              </w:rPr>
              <w:t>OTROS</w:t>
            </w:r>
          </w:p>
        </w:tc>
      </w:tr>
      <w:tr w:rsidR="00115803" w:rsidRPr="00BD2C5C" w14:paraId="2ADDC65D" w14:textId="77777777" w:rsidTr="004C7398">
        <w:trPr>
          <w:trHeight w:val="1065"/>
        </w:trPr>
        <w:tc>
          <w:tcPr>
            <w:tcW w:w="4248" w:type="dxa"/>
            <w:tcBorders>
              <w:top w:val="nil"/>
              <w:left w:val="single" w:sz="4" w:space="0" w:color="auto"/>
              <w:bottom w:val="single" w:sz="4" w:space="0" w:color="auto"/>
              <w:right w:val="single" w:sz="4" w:space="0" w:color="auto"/>
            </w:tcBorders>
            <w:hideMark/>
          </w:tcPr>
          <w:p w14:paraId="21D1966B" w14:textId="77777777" w:rsidR="00115803" w:rsidRPr="00BD2C5C" w:rsidRDefault="00115803" w:rsidP="004C7398">
            <w:pPr>
              <w:jc w:val="both"/>
              <w:rPr>
                <w:rFonts w:ascii="Arial" w:hAnsi="Arial" w:cs="Arial"/>
                <w:color w:val="000000" w:themeColor="text1"/>
              </w:rPr>
            </w:pPr>
            <w:r w:rsidRPr="00BD2C5C">
              <w:rPr>
                <w:rFonts w:ascii="Arial" w:hAnsi="Arial" w:cs="Arial"/>
                <w:color w:val="000000" w:themeColor="text1"/>
              </w:rPr>
              <w:t>Cualquier sustitución o reenvío de información periódica distinto al establecido en la lista no exhaustiva de comunicados de hechos relevantes.</w:t>
            </w:r>
          </w:p>
        </w:tc>
        <w:tc>
          <w:tcPr>
            <w:tcW w:w="1417" w:type="dxa"/>
            <w:tcBorders>
              <w:top w:val="nil"/>
              <w:left w:val="nil"/>
              <w:bottom w:val="single" w:sz="4" w:space="0" w:color="auto"/>
              <w:right w:val="single" w:sz="4" w:space="0" w:color="auto"/>
            </w:tcBorders>
            <w:vAlign w:val="center"/>
            <w:hideMark/>
          </w:tcPr>
          <w:p w14:paraId="00844777"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sz w:val="20"/>
                <w:szCs w:val="20"/>
              </w:rPr>
              <w:t>X</w:t>
            </w:r>
          </w:p>
        </w:tc>
        <w:tc>
          <w:tcPr>
            <w:tcW w:w="1701" w:type="dxa"/>
            <w:tcBorders>
              <w:top w:val="nil"/>
              <w:left w:val="nil"/>
              <w:bottom w:val="single" w:sz="4" w:space="0" w:color="auto"/>
              <w:right w:val="single" w:sz="4" w:space="0" w:color="auto"/>
            </w:tcBorders>
            <w:vAlign w:val="center"/>
            <w:hideMark/>
          </w:tcPr>
          <w:p w14:paraId="6DB6435F"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sz w:val="20"/>
                <w:szCs w:val="20"/>
              </w:rPr>
              <w:t>X</w:t>
            </w:r>
          </w:p>
        </w:tc>
        <w:tc>
          <w:tcPr>
            <w:tcW w:w="1779" w:type="dxa"/>
            <w:tcBorders>
              <w:top w:val="nil"/>
              <w:left w:val="nil"/>
              <w:bottom w:val="single" w:sz="4" w:space="0" w:color="auto"/>
              <w:right w:val="single" w:sz="4" w:space="0" w:color="auto"/>
            </w:tcBorders>
            <w:vAlign w:val="center"/>
            <w:hideMark/>
          </w:tcPr>
          <w:p w14:paraId="044374A0"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sz w:val="20"/>
                <w:szCs w:val="20"/>
              </w:rPr>
              <w:t>X</w:t>
            </w:r>
          </w:p>
        </w:tc>
      </w:tr>
      <w:tr w:rsidR="00115803" w:rsidRPr="00BD2C5C" w14:paraId="1764E49D" w14:textId="77777777" w:rsidTr="004C7398">
        <w:trPr>
          <w:trHeight w:val="825"/>
        </w:trPr>
        <w:tc>
          <w:tcPr>
            <w:tcW w:w="4248" w:type="dxa"/>
            <w:tcBorders>
              <w:top w:val="single" w:sz="4" w:space="0" w:color="auto"/>
              <w:left w:val="single" w:sz="4" w:space="0" w:color="auto"/>
              <w:bottom w:val="single" w:sz="4" w:space="0" w:color="auto"/>
              <w:right w:val="single" w:sz="4" w:space="0" w:color="auto"/>
            </w:tcBorders>
            <w:hideMark/>
          </w:tcPr>
          <w:p w14:paraId="190FA605" w14:textId="77777777" w:rsidR="00115803" w:rsidRPr="00BD2C5C" w:rsidRDefault="00115803" w:rsidP="004C7398">
            <w:pPr>
              <w:jc w:val="both"/>
              <w:rPr>
                <w:rFonts w:ascii="Arial" w:hAnsi="Arial" w:cs="Arial"/>
                <w:color w:val="000000" w:themeColor="text1"/>
              </w:rPr>
            </w:pPr>
            <w:r w:rsidRPr="00BD2C5C">
              <w:rPr>
                <w:rFonts w:ascii="Arial" w:hAnsi="Arial" w:cs="Arial"/>
                <w:color w:val="000000" w:themeColor="text1"/>
              </w:rPr>
              <w:lastRenderedPageBreak/>
              <w:t>Atrasos en la presentación de Información periódica, con indicación de la fecha prevista de presentación.</w:t>
            </w:r>
          </w:p>
        </w:tc>
        <w:tc>
          <w:tcPr>
            <w:tcW w:w="1417" w:type="dxa"/>
            <w:tcBorders>
              <w:top w:val="single" w:sz="4" w:space="0" w:color="auto"/>
              <w:left w:val="nil"/>
              <w:bottom w:val="single" w:sz="4" w:space="0" w:color="auto"/>
              <w:right w:val="single" w:sz="4" w:space="0" w:color="auto"/>
            </w:tcBorders>
            <w:vAlign w:val="center"/>
            <w:hideMark/>
          </w:tcPr>
          <w:p w14:paraId="0860C531" w14:textId="77777777" w:rsidR="00115803" w:rsidRPr="00BD2C5C" w:rsidRDefault="00115803" w:rsidP="004C7398">
            <w:pPr>
              <w:jc w:val="center"/>
              <w:rPr>
                <w:rFonts w:ascii="Arial" w:hAnsi="Arial" w:cs="Arial"/>
                <w:color w:val="000000" w:themeColor="text1"/>
              </w:rPr>
            </w:pPr>
          </w:p>
        </w:tc>
        <w:tc>
          <w:tcPr>
            <w:tcW w:w="1701" w:type="dxa"/>
            <w:tcBorders>
              <w:top w:val="single" w:sz="4" w:space="0" w:color="auto"/>
              <w:left w:val="nil"/>
              <w:bottom w:val="single" w:sz="4" w:space="0" w:color="auto"/>
              <w:right w:val="single" w:sz="4" w:space="0" w:color="auto"/>
            </w:tcBorders>
            <w:vAlign w:val="center"/>
            <w:hideMark/>
          </w:tcPr>
          <w:p w14:paraId="0379A532" w14:textId="77777777" w:rsidR="00115803" w:rsidRPr="00BD2C5C" w:rsidRDefault="00115803" w:rsidP="004C7398">
            <w:pPr>
              <w:jc w:val="center"/>
              <w:rPr>
                <w:rFonts w:ascii="Arial" w:hAnsi="Arial" w:cs="Arial"/>
                <w:color w:val="000000" w:themeColor="text1"/>
              </w:rPr>
            </w:pPr>
          </w:p>
        </w:tc>
        <w:tc>
          <w:tcPr>
            <w:tcW w:w="1779" w:type="dxa"/>
            <w:tcBorders>
              <w:top w:val="single" w:sz="4" w:space="0" w:color="auto"/>
              <w:left w:val="nil"/>
              <w:bottom w:val="single" w:sz="4" w:space="0" w:color="auto"/>
              <w:right w:val="single" w:sz="4" w:space="0" w:color="auto"/>
            </w:tcBorders>
            <w:vAlign w:val="center"/>
            <w:hideMark/>
          </w:tcPr>
          <w:p w14:paraId="6CC33213" w14:textId="77777777" w:rsidR="00115803" w:rsidRPr="00BD2C5C" w:rsidRDefault="00115803" w:rsidP="004C7398">
            <w:pPr>
              <w:jc w:val="center"/>
              <w:rPr>
                <w:rFonts w:ascii="Arial" w:hAnsi="Arial" w:cs="Arial"/>
                <w:color w:val="000000" w:themeColor="text1"/>
              </w:rPr>
            </w:pPr>
            <w:r w:rsidRPr="00BD2C5C">
              <w:rPr>
                <w:rFonts w:ascii="Arial" w:hAnsi="Arial" w:cs="Arial"/>
                <w:color w:val="000000" w:themeColor="text1"/>
                <w:sz w:val="20"/>
                <w:szCs w:val="20"/>
              </w:rPr>
              <w:t>X</w:t>
            </w:r>
          </w:p>
        </w:tc>
      </w:tr>
    </w:tbl>
    <w:p w14:paraId="6C425A52" w14:textId="1443BFFA" w:rsidR="004649DF" w:rsidRPr="00BD2C5C" w:rsidRDefault="004649DF" w:rsidP="004649DF">
      <w:pPr>
        <w:ind w:right="-193"/>
        <w:jc w:val="both"/>
        <w:rPr>
          <w:rFonts w:ascii="Arial" w:hAnsi="Arial" w:cs="Arial"/>
          <w:bCs/>
          <w:sz w:val="24"/>
          <w:lang w:eastAsia="en-US"/>
        </w:rPr>
      </w:pPr>
    </w:p>
    <w:p w14:paraId="1586F18B" w14:textId="77777777" w:rsidR="00115803" w:rsidRPr="00BD2C5C" w:rsidRDefault="00115803" w:rsidP="00115803">
      <w:pPr>
        <w:pStyle w:val="Textoindependiente3"/>
        <w:spacing w:after="0"/>
        <w:jc w:val="both"/>
        <w:rPr>
          <w:rFonts w:ascii="Arial" w:hAnsi="Arial" w:cs="Arial"/>
          <w:b/>
          <w:color w:val="0070C0"/>
          <w:sz w:val="22"/>
          <w:szCs w:val="22"/>
        </w:rPr>
      </w:pPr>
    </w:p>
    <w:p w14:paraId="74ED2CF2" w14:textId="77777777" w:rsidR="00115803" w:rsidRPr="00BD2C5C" w:rsidRDefault="00115803" w:rsidP="00115803">
      <w:pPr>
        <w:pStyle w:val="Textoindependiente3"/>
        <w:spacing w:after="0"/>
        <w:jc w:val="both"/>
        <w:rPr>
          <w:rFonts w:ascii="Arial" w:hAnsi="Arial" w:cs="Arial"/>
          <w:b/>
          <w:color w:val="000000" w:themeColor="text1"/>
          <w:sz w:val="22"/>
          <w:szCs w:val="22"/>
        </w:rPr>
      </w:pPr>
      <w:r w:rsidRPr="00BD2C5C">
        <w:rPr>
          <w:rFonts w:ascii="Arial" w:hAnsi="Arial" w:cs="Arial"/>
          <w:b/>
          <w:color w:val="000000" w:themeColor="text1"/>
          <w:sz w:val="22"/>
          <w:szCs w:val="22"/>
        </w:rPr>
        <w:t>Artículo 2. Reforma al artículo 6 del acuerdo SGV-A-257. Información Básica de las Entidades Reguladas y Supervisadas por la Superintendencia General de Valores de acuerdo con lo siguiente:</w:t>
      </w:r>
    </w:p>
    <w:p w14:paraId="49E23CBF" w14:textId="77777777" w:rsidR="00115803" w:rsidRPr="00BD2C5C" w:rsidRDefault="00115803" w:rsidP="00115803">
      <w:pPr>
        <w:pStyle w:val="Prrafodelista"/>
        <w:spacing w:after="160" w:line="259" w:lineRule="auto"/>
        <w:ind w:left="1211"/>
        <w:jc w:val="both"/>
        <w:rPr>
          <w:rFonts w:ascii="Arial" w:hAnsi="Arial" w:cs="Arial"/>
          <w:color w:val="000000" w:themeColor="text1"/>
        </w:rPr>
      </w:pPr>
    </w:p>
    <w:p w14:paraId="0741368B" w14:textId="77777777" w:rsidR="00115803" w:rsidRPr="00BD2C5C" w:rsidRDefault="00115803" w:rsidP="00115803">
      <w:pPr>
        <w:pStyle w:val="Prrafodelista"/>
        <w:numPr>
          <w:ilvl w:val="0"/>
          <w:numId w:val="10"/>
        </w:numPr>
        <w:contextualSpacing w:val="0"/>
        <w:jc w:val="both"/>
        <w:rPr>
          <w:rFonts w:ascii="Arial" w:hAnsi="Arial" w:cs="Arial"/>
          <w:color w:val="000000" w:themeColor="text1"/>
          <w:lang w:eastAsia="es-CR"/>
        </w:rPr>
      </w:pPr>
      <w:r w:rsidRPr="00BD2C5C">
        <w:rPr>
          <w:rFonts w:ascii="Arial" w:hAnsi="Arial" w:cs="Arial"/>
          <w:color w:val="000000" w:themeColor="text1"/>
          <w:lang w:eastAsia="es-CR"/>
        </w:rPr>
        <w:t xml:space="preserve">Se corrige la referencia al número de Ley 7558 que hace relación a la Ley Reguladora del Mercado de Valores, para que se lea de manera correcta Ley No 7732. </w:t>
      </w:r>
    </w:p>
    <w:p w14:paraId="6BD62D16" w14:textId="77777777" w:rsidR="00115803" w:rsidRPr="00BD2C5C" w:rsidRDefault="00115803" w:rsidP="00115803">
      <w:pPr>
        <w:jc w:val="both"/>
        <w:rPr>
          <w:rFonts w:ascii="Arial" w:hAnsi="Arial" w:cs="Arial"/>
          <w:color w:val="000000" w:themeColor="text1"/>
          <w:lang w:eastAsia="es-CR"/>
        </w:rPr>
      </w:pPr>
    </w:p>
    <w:p w14:paraId="128CA6D9" w14:textId="77777777" w:rsidR="00115803" w:rsidRPr="00BD2C5C" w:rsidRDefault="00115803" w:rsidP="00115803">
      <w:pPr>
        <w:pStyle w:val="Prrafodelista"/>
        <w:numPr>
          <w:ilvl w:val="0"/>
          <w:numId w:val="10"/>
        </w:numPr>
        <w:contextualSpacing w:val="0"/>
        <w:jc w:val="both"/>
        <w:rPr>
          <w:rFonts w:ascii="Arial" w:hAnsi="Arial" w:cs="Arial"/>
          <w:color w:val="000000" w:themeColor="text1"/>
          <w:lang w:eastAsia="es-CR"/>
        </w:rPr>
      </w:pPr>
      <w:r w:rsidRPr="00BD2C5C">
        <w:rPr>
          <w:rFonts w:ascii="Arial" w:hAnsi="Arial" w:cs="Arial"/>
          <w:color w:val="000000" w:themeColor="text1"/>
          <w:lang w:eastAsia="es-CR"/>
        </w:rPr>
        <w:t xml:space="preserve">Se modifica el artículo 6 del acuerdo </w:t>
      </w:r>
    </w:p>
    <w:p w14:paraId="38E97E11" w14:textId="77777777" w:rsidR="00115803" w:rsidRPr="00BD2C5C" w:rsidRDefault="00115803" w:rsidP="00115803">
      <w:pPr>
        <w:pStyle w:val="Prrafodelista"/>
        <w:jc w:val="both"/>
        <w:rPr>
          <w:rFonts w:ascii="Arial" w:hAnsi="Arial" w:cs="Arial"/>
          <w:color w:val="000000" w:themeColor="text1"/>
          <w:lang w:eastAsia="es-CR"/>
        </w:rPr>
      </w:pPr>
    </w:p>
    <w:p w14:paraId="70962498" w14:textId="77777777" w:rsidR="00115803" w:rsidRPr="00BD2C5C" w:rsidRDefault="00115803" w:rsidP="00115803">
      <w:pPr>
        <w:pStyle w:val="Prrafodelista"/>
        <w:numPr>
          <w:ilvl w:val="1"/>
          <w:numId w:val="10"/>
        </w:numPr>
        <w:contextualSpacing w:val="0"/>
        <w:jc w:val="both"/>
        <w:rPr>
          <w:rFonts w:ascii="Arial" w:eastAsiaTheme="minorHAnsi" w:hAnsi="Arial" w:cs="Arial"/>
          <w:color w:val="000000" w:themeColor="text1"/>
          <w:szCs w:val="22"/>
          <w:lang w:eastAsia="es-CR"/>
        </w:rPr>
      </w:pPr>
      <w:r w:rsidRPr="00BD2C5C">
        <w:rPr>
          <w:rFonts w:ascii="Arial" w:eastAsiaTheme="minorHAnsi" w:hAnsi="Arial" w:cs="Arial"/>
          <w:color w:val="000000" w:themeColor="text1"/>
          <w:szCs w:val="22"/>
          <w:lang w:eastAsia="es-CR"/>
        </w:rPr>
        <w:t xml:space="preserve">Para el Rol de Estructura de Capital, </w:t>
      </w:r>
      <w:r w:rsidRPr="00BD2C5C">
        <w:rPr>
          <w:rFonts w:ascii="Arial" w:eastAsiaTheme="minorHAnsi" w:hAnsi="Arial" w:cs="Arial"/>
          <w:b/>
          <w:bCs/>
          <w:color w:val="000000" w:themeColor="text1"/>
          <w:szCs w:val="22"/>
          <w:lang w:eastAsia="es-CR"/>
        </w:rPr>
        <w:t>incluir</w:t>
      </w:r>
      <w:r w:rsidRPr="00BD2C5C">
        <w:rPr>
          <w:rFonts w:ascii="Arial" w:eastAsiaTheme="minorHAnsi" w:hAnsi="Arial" w:cs="Arial"/>
          <w:color w:val="000000" w:themeColor="text1"/>
          <w:szCs w:val="22"/>
          <w:lang w:eastAsia="es-CR"/>
        </w:rPr>
        <w:t xml:space="preserve"> la declaración de los Antecedentes disciplinarios y judiciales y </w:t>
      </w:r>
      <w:r w:rsidRPr="00BD2C5C">
        <w:rPr>
          <w:rFonts w:ascii="Arial" w:eastAsiaTheme="minorHAnsi" w:hAnsi="Arial" w:cs="Arial"/>
          <w:b/>
          <w:bCs/>
          <w:color w:val="000000" w:themeColor="text1"/>
          <w:szCs w:val="22"/>
          <w:lang w:eastAsia="es-CR"/>
        </w:rPr>
        <w:t>eliminar</w:t>
      </w:r>
      <w:r w:rsidRPr="00BD2C5C">
        <w:rPr>
          <w:rFonts w:ascii="Arial" w:eastAsiaTheme="minorHAnsi" w:hAnsi="Arial" w:cs="Arial"/>
          <w:color w:val="000000" w:themeColor="text1"/>
          <w:szCs w:val="22"/>
          <w:lang w:eastAsia="es-CR"/>
        </w:rPr>
        <w:t xml:space="preserve"> las declaraciones asociadas con: Formación Académica, la Formación Especializada y el Historial Laboral.</w:t>
      </w:r>
    </w:p>
    <w:p w14:paraId="4B06D3EE" w14:textId="77777777" w:rsidR="00115803" w:rsidRPr="00BD2C5C" w:rsidRDefault="00115803" w:rsidP="00115803">
      <w:pPr>
        <w:jc w:val="both"/>
        <w:rPr>
          <w:rFonts w:ascii="Arial" w:hAnsi="Arial" w:cs="Arial"/>
          <w:color w:val="000000" w:themeColor="text1"/>
          <w:lang w:eastAsia="es-CR"/>
        </w:rPr>
      </w:pPr>
    </w:p>
    <w:p w14:paraId="5FFD1CE9" w14:textId="77777777" w:rsidR="00115803" w:rsidRPr="00BD2C5C" w:rsidRDefault="00115803" w:rsidP="00115803">
      <w:pPr>
        <w:ind w:left="360"/>
        <w:jc w:val="both"/>
        <w:rPr>
          <w:rFonts w:ascii="Arial" w:hAnsi="Arial" w:cs="Arial"/>
          <w:color w:val="000000" w:themeColor="text1"/>
          <w:lang w:eastAsia="es-CR"/>
        </w:rPr>
      </w:pPr>
    </w:p>
    <w:p w14:paraId="0C4B137B" w14:textId="77777777" w:rsidR="00115803" w:rsidRPr="00BD2C5C" w:rsidRDefault="00115803" w:rsidP="00115803">
      <w:pPr>
        <w:jc w:val="both"/>
        <w:rPr>
          <w:rFonts w:ascii="Arial" w:hAnsi="Arial" w:cs="Arial"/>
          <w:color w:val="000000" w:themeColor="text1"/>
          <w:lang w:eastAsia="es-CR"/>
        </w:rPr>
      </w:pPr>
      <w:r w:rsidRPr="00BD2C5C">
        <w:rPr>
          <w:rFonts w:ascii="Arial" w:hAnsi="Arial" w:cs="Arial"/>
          <w:color w:val="000000" w:themeColor="text1"/>
          <w:lang w:eastAsia="es-CR"/>
        </w:rPr>
        <w:t>De manera que el cuadro se lea de la siguiente manera:</w:t>
      </w:r>
    </w:p>
    <w:p w14:paraId="3736FA53" w14:textId="77777777" w:rsidR="00115803" w:rsidRPr="00BD2C5C" w:rsidRDefault="00115803" w:rsidP="00115803">
      <w:pPr>
        <w:pStyle w:val="Prrafodelista"/>
        <w:ind w:left="1211"/>
        <w:jc w:val="both"/>
        <w:rPr>
          <w:rFonts w:ascii="Arial" w:hAnsi="Arial" w:cs="Arial"/>
          <w:color w:val="000000" w:themeColor="text1"/>
        </w:rPr>
      </w:pPr>
    </w:p>
    <w:p w14:paraId="532E152C" w14:textId="77777777" w:rsidR="00115803" w:rsidRPr="00BD2C5C" w:rsidRDefault="00115803" w:rsidP="00115803">
      <w:pPr>
        <w:pStyle w:val="Prrafodelista"/>
        <w:ind w:left="1211"/>
        <w:jc w:val="both"/>
        <w:rPr>
          <w:rFonts w:ascii="Arial" w:hAnsi="Arial" w:cs="Arial"/>
          <w:bCs/>
          <w:i/>
          <w:iCs/>
          <w:color w:val="000000" w:themeColor="text1"/>
        </w:rPr>
      </w:pPr>
      <w:r w:rsidRPr="00BD2C5C">
        <w:rPr>
          <w:rFonts w:ascii="Arial" w:hAnsi="Arial" w:cs="Arial"/>
          <w:bCs/>
          <w:i/>
          <w:iCs/>
          <w:color w:val="000000" w:themeColor="text1"/>
        </w:rPr>
        <w:t xml:space="preserve">“Artículo 6. Declaraciones </w:t>
      </w:r>
    </w:p>
    <w:p w14:paraId="29EF1CB7" w14:textId="77777777" w:rsidR="00115803" w:rsidRPr="00BD2C5C" w:rsidRDefault="00115803" w:rsidP="00115803">
      <w:pPr>
        <w:pStyle w:val="Prrafodelista"/>
        <w:ind w:left="1211"/>
        <w:jc w:val="both"/>
        <w:rPr>
          <w:rFonts w:ascii="Arial" w:hAnsi="Arial" w:cs="Arial"/>
          <w:bCs/>
          <w:i/>
          <w:iCs/>
          <w:color w:val="000000" w:themeColor="text1"/>
        </w:rPr>
      </w:pPr>
    </w:p>
    <w:p w14:paraId="552D6941" w14:textId="77777777" w:rsidR="00115803" w:rsidRPr="00BD2C5C" w:rsidRDefault="00115803" w:rsidP="00115803">
      <w:pPr>
        <w:tabs>
          <w:tab w:val="center" w:pos="4419"/>
        </w:tabs>
        <w:ind w:left="1276"/>
        <w:rPr>
          <w:rFonts w:ascii="Arial" w:eastAsia="Calibri" w:hAnsi="Arial" w:cs="Arial"/>
          <w:bCs/>
          <w:i/>
          <w:iCs/>
          <w:color w:val="000000" w:themeColor="text1"/>
        </w:rPr>
      </w:pPr>
      <w:r w:rsidRPr="00BD2C5C">
        <w:rPr>
          <w:rFonts w:ascii="Arial" w:eastAsia="Calibri" w:hAnsi="Arial" w:cs="Arial"/>
          <w:bCs/>
          <w:i/>
          <w:iCs/>
          <w:color w:val="000000" w:themeColor="text1"/>
        </w:rPr>
        <w:t>(…)</w:t>
      </w:r>
    </w:p>
    <w:tbl>
      <w:tblPr>
        <w:tblStyle w:val="Tablaconcuadrcula11"/>
        <w:tblW w:w="9351" w:type="dxa"/>
        <w:tblInd w:w="0" w:type="dxa"/>
        <w:tblLook w:val="04A0" w:firstRow="1" w:lastRow="0" w:firstColumn="1" w:lastColumn="0" w:noHBand="0" w:noVBand="1"/>
      </w:tblPr>
      <w:tblGrid>
        <w:gridCol w:w="2687"/>
        <w:gridCol w:w="1701"/>
        <w:gridCol w:w="1704"/>
        <w:gridCol w:w="1558"/>
        <w:gridCol w:w="1701"/>
      </w:tblGrid>
      <w:tr w:rsidR="00115803" w:rsidRPr="00BD2C5C" w14:paraId="79F0FFA3" w14:textId="77777777" w:rsidTr="004C7398">
        <w:tc>
          <w:tcPr>
            <w:tcW w:w="2687" w:type="dxa"/>
            <w:tcBorders>
              <w:top w:val="single" w:sz="4" w:space="0" w:color="auto"/>
              <w:left w:val="single" w:sz="4" w:space="0" w:color="auto"/>
              <w:bottom w:val="single" w:sz="4" w:space="0" w:color="auto"/>
              <w:right w:val="single" w:sz="4" w:space="0" w:color="auto"/>
            </w:tcBorders>
            <w:vAlign w:val="center"/>
            <w:hideMark/>
          </w:tcPr>
          <w:p w14:paraId="4A2BB51C" w14:textId="77777777" w:rsidR="00115803" w:rsidRPr="00BD2C5C" w:rsidRDefault="00115803" w:rsidP="004C7398">
            <w:pPr>
              <w:widowControl w:val="0"/>
              <w:autoSpaceDE w:val="0"/>
              <w:autoSpaceDN w:val="0"/>
              <w:spacing w:after="120" w:line="252" w:lineRule="auto"/>
              <w:ind w:right="130"/>
              <w:jc w:val="center"/>
              <w:rPr>
                <w:rFonts w:ascii="Arial" w:eastAsia="Cambria" w:hAnsi="Arial" w:cs="Arial"/>
                <w:b/>
                <w:bCs/>
                <w:i/>
                <w:iCs/>
                <w:color w:val="000000" w:themeColor="text1"/>
                <w:sz w:val="18"/>
                <w:szCs w:val="18"/>
                <w:lang w:val="en-US"/>
              </w:rPr>
            </w:pPr>
            <w:r w:rsidRPr="00BD2C5C">
              <w:rPr>
                <w:rFonts w:ascii="Arial" w:hAnsi="Arial" w:cs="Arial"/>
                <w:b/>
                <w:bCs/>
                <w:i/>
                <w:iCs/>
                <w:color w:val="000000" w:themeColor="text1"/>
                <w:sz w:val="18"/>
                <w:szCs w:val="18"/>
                <w:lang w:val="en-US"/>
              </w:rPr>
              <w:t>Rol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CFCC7D" w14:textId="77777777" w:rsidR="00115803" w:rsidRPr="00BD2C5C" w:rsidRDefault="00115803" w:rsidP="004C7398">
            <w:pPr>
              <w:widowControl w:val="0"/>
              <w:autoSpaceDE w:val="0"/>
              <w:autoSpaceDN w:val="0"/>
              <w:spacing w:after="120" w:line="252" w:lineRule="auto"/>
              <w:ind w:right="130"/>
              <w:jc w:val="center"/>
              <w:rPr>
                <w:rFonts w:ascii="Arial" w:hAnsi="Arial" w:cs="Arial"/>
                <w:b/>
                <w:bCs/>
                <w:i/>
                <w:iCs/>
                <w:color w:val="000000" w:themeColor="text1"/>
                <w:sz w:val="18"/>
                <w:szCs w:val="18"/>
                <w:lang w:val="en-US"/>
              </w:rPr>
            </w:pPr>
            <w:r w:rsidRPr="00BD2C5C">
              <w:rPr>
                <w:rFonts w:ascii="Arial" w:hAnsi="Arial" w:cs="Arial"/>
                <w:b/>
                <w:bCs/>
                <w:i/>
                <w:iCs/>
                <w:color w:val="000000" w:themeColor="text1"/>
                <w:sz w:val="18"/>
                <w:szCs w:val="18"/>
                <w:lang w:val="en-US"/>
              </w:rPr>
              <w:t>Formación Académica</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3E49EAC" w14:textId="77777777" w:rsidR="00115803" w:rsidRPr="00BD2C5C" w:rsidRDefault="00115803" w:rsidP="004C7398">
            <w:pPr>
              <w:widowControl w:val="0"/>
              <w:autoSpaceDE w:val="0"/>
              <w:autoSpaceDN w:val="0"/>
              <w:spacing w:after="120" w:line="252" w:lineRule="auto"/>
              <w:ind w:right="130"/>
              <w:jc w:val="center"/>
              <w:rPr>
                <w:rFonts w:ascii="Arial" w:hAnsi="Arial" w:cs="Arial"/>
                <w:b/>
                <w:bCs/>
                <w:i/>
                <w:iCs/>
                <w:color w:val="000000" w:themeColor="text1"/>
                <w:sz w:val="18"/>
                <w:szCs w:val="18"/>
                <w:lang w:val="en-US"/>
              </w:rPr>
            </w:pPr>
            <w:r w:rsidRPr="00BD2C5C">
              <w:rPr>
                <w:rFonts w:ascii="Arial" w:hAnsi="Arial" w:cs="Arial"/>
                <w:b/>
                <w:bCs/>
                <w:i/>
                <w:iCs/>
                <w:color w:val="000000" w:themeColor="text1"/>
                <w:sz w:val="18"/>
                <w:szCs w:val="18"/>
                <w:lang w:val="en-US"/>
              </w:rPr>
              <w:t>Formación Especializada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4A7D5FE" w14:textId="77777777" w:rsidR="00115803" w:rsidRPr="00BD2C5C" w:rsidRDefault="00115803" w:rsidP="004C7398">
            <w:pPr>
              <w:widowControl w:val="0"/>
              <w:autoSpaceDE w:val="0"/>
              <w:autoSpaceDN w:val="0"/>
              <w:spacing w:after="120" w:line="252" w:lineRule="auto"/>
              <w:ind w:right="130"/>
              <w:jc w:val="center"/>
              <w:rPr>
                <w:rFonts w:ascii="Arial" w:hAnsi="Arial" w:cs="Arial"/>
                <w:b/>
                <w:bCs/>
                <w:i/>
                <w:iCs/>
                <w:color w:val="000000" w:themeColor="text1"/>
                <w:sz w:val="18"/>
                <w:szCs w:val="18"/>
                <w:lang w:val="en-US"/>
              </w:rPr>
            </w:pPr>
            <w:r w:rsidRPr="00BD2C5C">
              <w:rPr>
                <w:rFonts w:ascii="Arial" w:hAnsi="Arial" w:cs="Arial"/>
                <w:b/>
                <w:bCs/>
                <w:i/>
                <w:iCs/>
                <w:color w:val="000000" w:themeColor="text1"/>
                <w:sz w:val="18"/>
                <w:szCs w:val="18"/>
                <w:lang w:val="en-US"/>
              </w:rPr>
              <w:t>Historial laboral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C9633D" w14:textId="77777777" w:rsidR="00115803" w:rsidRPr="00BD2C5C" w:rsidRDefault="00115803" w:rsidP="004C7398">
            <w:pPr>
              <w:widowControl w:val="0"/>
              <w:autoSpaceDE w:val="0"/>
              <w:autoSpaceDN w:val="0"/>
              <w:spacing w:after="120" w:line="252" w:lineRule="auto"/>
              <w:ind w:right="130"/>
              <w:jc w:val="center"/>
              <w:rPr>
                <w:rFonts w:ascii="Arial" w:hAnsi="Arial" w:cs="Arial"/>
                <w:b/>
                <w:bCs/>
                <w:i/>
                <w:iCs/>
                <w:color w:val="000000" w:themeColor="text1"/>
                <w:sz w:val="18"/>
                <w:szCs w:val="18"/>
                <w:lang w:val="en-US"/>
              </w:rPr>
            </w:pPr>
            <w:r w:rsidRPr="00BD2C5C">
              <w:rPr>
                <w:rFonts w:ascii="Arial" w:hAnsi="Arial" w:cs="Arial"/>
                <w:b/>
                <w:bCs/>
                <w:i/>
                <w:iCs/>
                <w:color w:val="000000" w:themeColor="text1"/>
                <w:sz w:val="18"/>
                <w:szCs w:val="18"/>
                <w:lang w:val="en-US"/>
              </w:rPr>
              <w:t>Antecedentes disciplinarios y judiciales</w:t>
            </w:r>
          </w:p>
        </w:tc>
      </w:tr>
      <w:tr w:rsidR="00115803" w:rsidRPr="00BD2C5C" w14:paraId="467A5F1C" w14:textId="77777777" w:rsidTr="004C7398">
        <w:tc>
          <w:tcPr>
            <w:tcW w:w="2687" w:type="dxa"/>
            <w:tcBorders>
              <w:top w:val="single" w:sz="4" w:space="0" w:color="auto"/>
              <w:left w:val="single" w:sz="4" w:space="0" w:color="auto"/>
              <w:bottom w:val="single" w:sz="4" w:space="0" w:color="auto"/>
              <w:right w:val="single" w:sz="4" w:space="0" w:color="auto"/>
            </w:tcBorders>
            <w:hideMark/>
          </w:tcPr>
          <w:p w14:paraId="2D8C004F" w14:textId="77777777" w:rsidR="00115803" w:rsidRPr="00BD2C5C" w:rsidRDefault="00115803" w:rsidP="004C7398">
            <w:pPr>
              <w:widowControl w:val="0"/>
              <w:autoSpaceDE w:val="0"/>
              <w:autoSpaceDN w:val="0"/>
              <w:spacing w:after="120" w:line="252" w:lineRule="auto"/>
              <w:ind w:right="130"/>
              <w:rPr>
                <w:rFonts w:ascii="Arial" w:hAnsi="Arial" w:cs="Arial"/>
                <w:i/>
                <w:iCs/>
                <w:color w:val="000000" w:themeColor="text1"/>
                <w:sz w:val="18"/>
                <w:szCs w:val="18"/>
                <w:lang w:val="en-US"/>
              </w:rPr>
            </w:pPr>
            <w:r w:rsidRPr="00BD2C5C">
              <w:rPr>
                <w:rFonts w:ascii="Arial" w:hAnsi="Arial" w:cs="Arial"/>
                <w:i/>
                <w:iCs/>
                <w:color w:val="000000" w:themeColor="text1"/>
                <w:sz w:val="18"/>
                <w:szCs w:val="18"/>
                <w:lang w:val="en-US"/>
              </w:rPr>
              <w:t>Estructura de Capital</w:t>
            </w:r>
          </w:p>
        </w:tc>
        <w:tc>
          <w:tcPr>
            <w:tcW w:w="1701" w:type="dxa"/>
            <w:tcBorders>
              <w:top w:val="single" w:sz="4" w:space="0" w:color="auto"/>
              <w:left w:val="single" w:sz="4" w:space="0" w:color="auto"/>
              <w:bottom w:val="single" w:sz="4" w:space="0" w:color="auto"/>
              <w:right w:val="single" w:sz="4" w:space="0" w:color="auto"/>
            </w:tcBorders>
          </w:tcPr>
          <w:p w14:paraId="6EF4A658" w14:textId="77777777" w:rsidR="00115803" w:rsidRPr="00BD2C5C" w:rsidRDefault="00115803" w:rsidP="004C7398">
            <w:pPr>
              <w:widowControl w:val="0"/>
              <w:autoSpaceDE w:val="0"/>
              <w:autoSpaceDN w:val="0"/>
              <w:spacing w:after="120" w:line="252" w:lineRule="auto"/>
              <w:ind w:right="130"/>
              <w:jc w:val="center"/>
              <w:rPr>
                <w:rFonts w:ascii="Arial" w:hAnsi="Arial" w:cs="Arial"/>
                <w:i/>
                <w:iCs/>
                <w:color w:val="000000" w:themeColor="text1"/>
                <w:sz w:val="18"/>
                <w:szCs w:val="18"/>
                <w:lang w:val="en-US"/>
              </w:rPr>
            </w:pPr>
          </w:p>
        </w:tc>
        <w:tc>
          <w:tcPr>
            <w:tcW w:w="1704" w:type="dxa"/>
            <w:tcBorders>
              <w:top w:val="single" w:sz="4" w:space="0" w:color="auto"/>
              <w:left w:val="single" w:sz="4" w:space="0" w:color="auto"/>
              <w:bottom w:val="single" w:sz="4" w:space="0" w:color="auto"/>
              <w:right w:val="single" w:sz="4" w:space="0" w:color="auto"/>
            </w:tcBorders>
          </w:tcPr>
          <w:p w14:paraId="3A9E8165" w14:textId="77777777" w:rsidR="00115803" w:rsidRPr="00BD2C5C" w:rsidRDefault="00115803" w:rsidP="004C7398">
            <w:pPr>
              <w:widowControl w:val="0"/>
              <w:autoSpaceDE w:val="0"/>
              <w:autoSpaceDN w:val="0"/>
              <w:spacing w:after="120" w:line="252" w:lineRule="auto"/>
              <w:ind w:right="130"/>
              <w:jc w:val="center"/>
              <w:rPr>
                <w:rFonts w:ascii="Arial" w:hAnsi="Arial" w:cs="Arial"/>
                <w:i/>
                <w:iCs/>
                <w:color w:val="000000" w:themeColor="text1"/>
                <w:sz w:val="18"/>
                <w:szCs w:val="18"/>
                <w:lang w:val="en-US"/>
              </w:rPr>
            </w:pPr>
          </w:p>
        </w:tc>
        <w:tc>
          <w:tcPr>
            <w:tcW w:w="1558" w:type="dxa"/>
            <w:tcBorders>
              <w:top w:val="single" w:sz="4" w:space="0" w:color="auto"/>
              <w:left w:val="single" w:sz="4" w:space="0" w:color="auto"/>
              <w:bottom w:val="single" w:sz="4" w:space="0" w:color="auto"/>
              <w:right w:val="single" w:sz="4" w:space="0" w:color="auto"/>
            </w:tcBorders>
          </w:tcPr>
          <w:p w14:paraId="6DD6CA3E" w14:textId="77777777" w:rsidR="00115803" w:rsidRPr="00BD2C5C" w:rsidRDefault="00115803" w:rsidP="004C7398">
            <w:pPr>
              <w:widowControl w:val="0"/>
              <w:autoSpaceDE w:val="0"/>
              <w:autoSpaceDN w:val="0"/>
              <w:spacing w:after="120" w:line="252" w:lineRule="auto"/>
              <w:ind w:right="130"/>
              <w:jc w:val="center"/>
              <w:rPr>
                <w:rFonts w:ascii="Arial" w:hAnsi="Arial" w:cs="Arial"/>
                <w:i/>
                <w:iCs/>
                <w:color w:val="000000" w:themeColor="text1"/>
                <w:sz w:val="18"/>
                <w:szCs w:val="18"/>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419A275" w14:textId="77777777" w:rsidR="00115803" w:rsidRPr="00BD2C5C" w:rsidRDefault="00115803" w:rsidP="004C7398">
            <w:pPr>
              <w:widowControl w:val="0"/>
              <w:autoSpaceDE w:val="0"/>
              <w:autoSpaceDN w:val="0"/>
              <w:spacing w:after="120" w:line="252" w:lineRule="auto"/>
              <w:ind w:right="130"/>
              <w:jc w:val="center"/>
              <w:rPr>
                <w:rFonts w:ascii="Arial" w:hAnsi="Arial" w:cs="Arial"/>
                <w:i/>
                <w:iCs/>
                <w:color w:val="000000" w:themeColor="text1"/>
                <w:sz w:val="18"/>
                <w:szCs w:val="18"/>
                <w:lang w:val="en-US"/>
              </w:rPr>
            </w:pPr>
            <w:r w:rsidRPr="00BD2C5C">
              <w:rPr>
                <w:rFonts w:ascii="Arial" w:hAnsi="Arial" w:cs="Arial"/>
                <w:b/>
                <w:bCs/>
                <w:i/>
                <w:iCs/>
                <w:color w:val="000000" w:themeColor="text1"/>
                <w:sz w:val="18"/>
                <w:szCs w:val="18"/>
              </w:rPr>
              <w:t>X</w:t>
            </w:r>
          </w:p>
        </w:tc>
      </w:tr>
    </w:tbl>
    <w:p w14:paraId="5F9F91A2" w14:textId="77777777" w:rsidR="00115803" w:rsidRPr="00BD2C5C" w:rsidRDefault="00115803" w:rsidP="00115803">
      <w:pPr>
        <w:widowControl w:val="0"/>
        <w:autoSpaceDE w:val="0"/>
        <w:autoSpaceDN w:val="0"/>
        <w:rPr>
          <w:rFonts w:ascii="Arial" w:eastAsia="Cambria" w:hAnsi="Arial" w:cs="Arial"/>
          <w:i/>
          <w:iCs/>
          <w:color w:val="000000" w:themeColor="text1"/>
        </w:rPr>
      </w:pPr>
    </w:p>
    <w:p w14:paraId="07A2D33D" w14:textId="77777777" w:rsidR="00115803" w:rsidRPr="00BD2C5C" w:rsidRDefault="00115803" w:rsidP="00115803">
      <w:pPr>
        <w:tabs>
          <w:tab w:val="center" w:pos="4419"/>
        </w:tabs>
        <w:ind w:left="1276"/>
        <w:rPr>
          <w:rFonts w:ascii="Arial" w:eastAsia="Calibri" w:hAnsi="Arial" w:cs="Arial"/>
          <w:bCs/>
          <w:i/>
          <w:iCs/>
          <w:color w:val="000000" w:themeColor="text1"/>
        </w:rPr>
      </w:pPr>
      <w:bookmarkStart w:id="0" w:name="_Hlk101544405"/>
      <w:r w:rsidRPr="00BD2C5C">
        <w:rPr>
          <w:rFonts w:ascii="Arial" w:eastAsia="Calibri" w:hAnsi="Arial" w:cs="Arial"/>
          <w:bCs/>
          <w:i/>
          <w:iCs/>
          <w:color w:val="000000" w:themeColor="text1"/>
        </w:rPr>
        <w:t>(…)”</w:t>
      </w:r>
    </w:p>
    <w:bookmarkEnd w:id="0"/>
    <w:p w14:paraId="0C8E8768" w14:textId="77777777" w:rsidR="00115803" w:rsidRPr="00BD2C5C" w:rsidRDefault="00115803" w:rsidP="00115803">
      <w:pPr>
        <w:jc w:val="both"/>
        <w:rPr>
          <w:rFonts w:ascii="Arial" w:hAnsi="Arial" w:cs="Arial"/>
          <w:b/>
          <w:bCs/>
          <w:color w:val="000000" w:themeColor="text1"/>
          <w:lang w:eastAsia="es-CR"/>
        </w:rPr>
      </w:pPr>
    </w:p>
    <w:p w14:paraId="52ED55C1" w14:textId="77777777" w:rsidR="00115803" w:rsidRPr="00BD2C5C" w:rsidRDefault="00115803" w:rsidP="00115803">
      <w:pPr>
        <w:jc w:val="both"/>
        <w:rPr>
          <w:rFonts w:ascii="Arial" w:hAnsi="Arial" w:cs="Arial"/>
          <w:b/>
          <w:bCs/>
          <w:color w:val="000000" w:themeColor="text1"/>
          <w:lang w:eastAsia="es-CR"/>
        </w:rPr>
      </w:pPr>
      <w:r w:rsidRPr="00BD2C5C">
        <w:rPr>
          <w:rFonts w:ascii="Arial" w:hAnsi="Arial" w:cs="Arial"/>
          <w:b/>
          <w:bCs/>
          <w:color w:val="000000" w:themeColor="text1"/>
          <w:lang w:eastAsia="es-CR"/>
        </w:rPr>
        <w:t>Artículo 3. Vigencia</w:t>
      </w:r>
    </w:p>
    <w:p w14:paraId="75FFB70F" w14:textId="77777777" w:rsidR="00115803" w:rsidRPr="00BD2C5C" w:rsidRDefault="00115803" w:rsidP="00115803">
      <w:pPr>
        <w:jc w:val="both"/>
        <w:rPr>
          <w:rFonts w:ascii="Arial" w:hAnsi="Arial" w:cs="Arial"/>
          <w:color w:val="000000" w:themeColor="text1"/>
          <w:lang w:eastAsia="es-CR"/>
        </w:rPr>
      </w:pPr>
    </w:p>
    <w:p w14:paraId="6E1EB481" w14:textId="77777777" w:rsidR="00115803" w:rsidRPr="00BD2C5C" w:rsidRDefault="00115803" w:rsidP="00115803">
      <w:pPr>
        <w:jc w:val="both"/>
        <w:rPr>
          <w:rFonts w:ascii="Arial" w:hAnsi="Arial" w:cs="Arial"/>
          <w:color w:val="000000" w:themeColor="text1"/>
          <w:lang w:eastAsia="es-CR"/>
        </w:rPr>
      </w:pPr>
      <w:r w:rsidRPr="00BD2C5C">
        <w:rPr>
          <w:rFonts w:ascii="Arial" w:hAnsi="Arial" w:cs="Arial"/>
          <w:color w:val="000000" w:themeColor="text1"/>
          <w:lang w:eastAsia="es-CR"/>
        </w:rPr>
        <w:t>Rige a partir del 23 de noviembre del 2022.</w:t>
      </w:r>
    </w:p>
    <w:p w14:paraId="2AFFB505" w14:textId="77777777" w:rsidR="00115803" w:rsidRPr="00BD2C5C" w:rsidRDefault="00115803" w:rsidP="00115803">
      <w:pPr>
        <w:jc w:val="both"/>
        <w:rPr>
          <w:rFonts w:ascii="Arial" w:hAnsi="Arial" w:cs="Arial"/>
          <w:color w:val="000000" w:themeColor="text1"/>
          <w:lang w:eastAsia="es-CR"/>
        </w:rPr>
      </w:pPr>
    </w:p>
    <w:p w14:paraId="2ED059E8" w14:textId="5F663AE1" w:rsidR="00115803" w:rsidRPr="00BD2C5C" w:rsidRDefault="00115803" w:rsidP="00115803">
      <w:pPr>
        <w:jc w:val="both"/>
        <w:rPr>
          <w:rFonts w:ascii="Arial" w:hAnsi="Arial" w:cs="Arial"/>
          <w:color w:val="000000" w:themeColor="text1"/>
          <w:lang w:eastAsia="es-CR"/>
        </w:rPr>
      </w:pPr>
    </w:p>
    <w:p w14:paraId="06289E75" w14:textId="77777777" w:rsidR="00115803" w:rsidRPr="00BD2C5C" w:rsidRDefault="00115803" w:rsidP="004649DF">
      <w:pPr>
        <w:ind w:right="-193"/>
        <w:jc w:val="both"/>
        <w:rPr>
          <w:rFonts w:ascii="Arial" w:hAnsi="Arial" w:cs="Arial"/>
          <w:bCs/>
          <w:sz w:val="24"/>
          <w:lang w:eastAsia="en-US"/>
        </w:rPr>
      </w:pPr>
    </w:p>
    <w:sectPr w:rsidR="00115803" w:rsidRPr="00BD2C5C"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8011" w14:textId="77777777" w:rsidR="00345562" w:rsidRDefault="00345562" w:rsidP="005A768E">
      <w:r>
        <w:separator/>
      </w:r>
    </w:p>
  </w:endnote>
  <w:endnote w:type="continuationSeparator" w:id="0">
    <w:p w14:paraId="130DE470" w14:textId="77777777" w:rsidR="00345562" w:rsidRDefault="00345562"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0870" w14:textId="77777777" w:rsidR="004302DC" w:rsidRDefault="004302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69F" w14:textId="4CCBFD7A" w:rsidR="003959B0" w:rsidRPr="003959B0" w:rsidRDefault="0067178B" w:rsidP="003959B0">
    <w:pPr>
      <w:pStyle w:val="Piedepgina"/>
      <w:pBdr>
        <w:top w:val="single" w:sz="4" w:space="1" w:color="D9D9D9"/>
      </w:pBdr>
      <w:rPr>
        <w:rFonts w:ascii="Arial" w:hAnsi="Arial" w:cs="Arial"/>
        <w:b/>
        <w:bCs/>
        <w:color w:val="1B75BB"/>
      </w:rPr>
    </w:pPr>
    <w:r>
      <w:rPr>
        <w:rFonts w:ascii="Arial" w:hAnsi="Arial" w:cs="Arial"/>
        <w:b/>
        <w:bCs/>
        <w:noProof/>
        <w:color w:val="1B75BB"/>
      </w:rPr>
      <mc:AlternateContent>
        <mc:Choice Requires="wps">
          <w:drawing>
            <wp:anchor distT="0" distB="0" distL="114300" distR="114300" simplePos="0" relativeHeight="251659264" behindDoc="0" locked="0" layoutInCell="0" allowOverlap="1" wp14:anchorId="48C81A38" wp14:editId="11EC900F">
              <wp:simplePos x="0" y="0"/>
              <wp:positionH relativeFrom="page">
                <wp:posOffset>0</wp:posOffset>
              </wp:positionH>
              <wp:positionV relativeFrom="page">
                <wp:posOffset>9594215</wp:posOffset>
              </wp:positionV>
              <wp:extent cx="7772400" cy="273050"/>
              <wp:effectExtent l="0" t="0" r="0" b="12700"/>
              <wp:wrapNone/>
              <wp:docPr id="2" name="MSIPCM6c63464e9ff75163802e3ff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0C0358" w14:textId="6F92C2CD" w:rsidR="0067178B" w:rsidRPr="0067178B" w:rsidRDefault="0067178B" w:rsidP="0067178B">
                          <w:pPr>
                            <w:jc w:val="center"/>
                            <w:rPr>
                              <w:rFonts w:ascii="Calibri" w:hAnsi="Calibri" w:cs="Calibri"/>
                              <w:color w:val="000000"/>
                              <w:sz w:val="20"/>
                            </w:rPr>
                          </w:pPr>
                          <w:r w:rsidRPr="0067178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C81A38" id="_x0000_t202" coordsize="21600,21600" o:spt="202" path="m,l,21600r21600,l21600,xe">
              <v:stroke joinstyle="miter"/>
              <v:path gradientshapeok="t" o:connecttype="rect"/>
            </v:shapetype>
            <v:shape id="MSIPCM6c63464e9ff75163802e3ff4"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0E0C0358" w14:textId="6F92C2CD" w:rsidR="0067178B" w:rsidRPr="0067178B" w:rsidRDefault="0067178B" w:rsidP="0067178B">
                    <w:pPr>
                      <w:jc w:val="center"/>
                      <w:rPr>
                        <w:rFonts w:ascii="Calibri" w:hAnsi="Calibri" w:cs="Calibri"/>
                        <w:color w:val="000000"/>
                        <w:sz w:val="20"/>
                      </w:rPr>
                    </w:pPr>
                    <w:r w:rsidRPr="0067178B">
                      <w:rPr>
                        <w:rFonts w:ascii="Calibri" w:hAnsi="Calibri" w:cs="Calibri"/>
                        <w:color w:val="000000"/>
                        <w:sz w:val="20"/>
                      </w:rPr>
                      <w:t>Uso Interno</w:t>
                    </w:r>
                  </w:p>
                </w:txbxContent>
              </v:textbox>
              <w10:wrap anchorx="page" anchory="page"/>
            </v:shape>
          </w:pict>
        </mc:Fallback>
      </mc:AlternateContent>
    </w:r>
    <w:r w:rsidR="003959B0" w:rsidRPr="003959B0">
      <w:rPr>
        <w:rFonts w:ascii="Arial" w:hAnsi="Arial" w:cs="Arial"/>
        <w:b/>
        <w:bCs/>
        <w:color w:val="1B75BB"/>
      </w:rPr>
      <w:fldChar w:fldCharType="begin"/>
    </w:r>
    <w:r w:rsidR="003959B0" w:rsidRPr="003959B0">
      <w:rPr>
        <w:rFonts w:ascii="Arial" w:hAnsi="Arial" w:cs="Arial"/>
        <w:b/>
        <w:bCs/>
        <w:color w:val="1B75BB"/>
      </w:rPr>
      <w:instrText xml:space="preserve"> PAGE   \* MERGEFORMAT </w:instrText>
    </w:r>
    <w:r w:rsidR="003959B0" w:rsidRPr="003959B0">
      <w:rPr>
        <w:rFonts w:ascii="Arial" w:hAnsi="Arial" w:cs="Arial"/>
        <w:b/>
        <w:bCs/>
        <w:color w:val="1B75BB"/>
      </w:rPr>
      <w:fldChar w:fldCharType="separate"/>
    </w:r>
    <w:r w:rsidR="003959B0" w:rsidRPr="003959B0">
      <w:rPr>
        <w:rFonts w:ascii="Arial" w:hAnsi="Arial" w:cs="Arial"/>
        <w:b/>
        <w:bCs/>
        <w:color w:val="1B75BB"/>
      </w:rPr>
      <w:t>2</w:t>
    </w:r>
    <w:r w:rsidR="003959B0" w:rsidRPr="003959B0">
      <w:rPr>
        <w:rFonts w:ascii="Arial" w:hAnsi="Arial" w:cs="Arial"/>
        <w:b/>
        <w:bCs/>
        <w:noProof/>
        <w:color w:val="1B75BB"/>
      </w:rPr>
      <w:fldChar w:fldCharType="end"/>
    </w:r>
    <w:r w:rsidR="003959B0"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594C" w14:textId="51AE2339" w:rsidR="003959B0" w:rsidRDefault="0067178B">
    <w:pPr>
      <w:pStyle w:val="Piedepgina"/>
    </w:pPr>
    <w:r>
      <w:rPr>
        <w:noProof/>
      </w:rPr>
      <mc:AlternateContent>
        <mc:Choice Requires="wps">
          <w:drawing>
            <wp:anchor distT="0" distB="0" distL="114300" distR="114300" simplePos="0" relativeHeight="251660288" behindDoc="0" locked="0" layoutInCell="0" allowOverlap="1" wp14:anchorId="208A315A" wp14:editId="3FB089EF">
              <wp:simplePos x="0" y="0"/>
              <wp:positionH relativeFrom="page">
                <wp:posOffset>0</wp:posOffset>
              </wp:positionH>
              <wp:positionV relativeFrom="page">
                <wp:posOffset>9594215</wp:posOffset>
              </wp:positionV>
              <wp:extent cx="7772400" cy="273050"/>
              <wp:effectExtent l="0" t="0" r="0" b="12700"/>
              <wp:wrapNone/>
              <wp:docPr id="3" name="MSIPCMe0754634ade75477191b6f8a"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85056" w14:textId="4A4DB867" w:rsidR="0067178B" w:rsidRPr="0067178B" w:rsidRDefault="0067178B" w:rsidP="0067178B">
                          <w:pPr>
                            <w:jc w:val="center"/>
                            <w:rPr>
                              <w:rFonts w:ascii="Calibri" w:hAnsi="Calibri" w:cs="Calibri"/>
                              <w:color w:val="000000"/>
                              <w:sz w:val="20"/>
                            </w:rPr>
                          </w:pPr>
                          <w:r w:rsidRPr="0067178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8A315A" id="_x0000_t202" coordsize="21600,21600" o:spt="202" path="m,l,21600r21600,l21600,xe">
              <v:stroke joinstyle="miter"/>
              <v:path gradientshapeok="t" o:connecttype="rect"/>
            </v:shapetype>
            <v:shape id="MSIPCMe0754634ade75477191b6f8a"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fill o:detectmouseclick="t"/>
              <v:textbox inset=",0,,0">
                <w:txbxContent>
                  <w:p w14:paraId="62885056" w14:textId="4A4DB867" w:rsidR="0067178B" w:rsidRPr="0067178B" w:rsidRDefault="0067178B" w:rsidP="0067178B">
                    <w:pPr>
                      <w:jc w:val="center"/>
                      <w:rPr>
                        <w:rFonts w:ascii="Calibri" w:hAnsi="Calibri" w:cs="Calibri"/>
                        <w:color w:val="000000"/>
                        <w:sz w:val="20"/>
                      </w:rPr>
                    </w:pPr>
                    <w:r w:rsidRPr="0067178B">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ED33" w14:textId="77777777" w:rsidR="00345562" w:rsidRDefault="00345562" w:rsidP="005A768E">
      <w:r>
        <w:separator/>
      </w:r>
    </w:p>
  </w:footnote>
  <w:footnote w:type="continuationSeparator" w:id="0">
    <w:p w14:paraId="58C42EA5" w14:textId="77777777" w:rsidR="00345562" w:rsidRDefault="00345562" w:rsidP="005A768E">
      <w:r>
        <w:continuationSeparator/>
      </w:r>
    </w:p>
  </w:footnote>
  <w:footnote w:id="1">
    <w:p w14:paraId="6C88317D" w14:textId="352457ED" w:rsidR="004649DF" w:rsidRPr="004649DF" w:rsidRDefault="004649DF" w:rsidP="00115803">
      <w:pPr>
        <w:pStyle w:val="Textoindependiente"/>
      </w:pPr>
      <w:r>
        <w:rPr>
          <w:rStyle w:val="Refdenotaalpie"/>
        </w:rPr>
        <w:footnoteRef/>
      </w:r>
      <w:r>
        <w:t xml:space="preserve"> </w:t>
      </w:r>
      <w:r w:rsidRPr="004302DC">
        <w:rPr>
          <w:rFonts w:ascii="Arial" w:hAnsi="Arial" w:cs="Arial"/>
          <w:szCs w:val="22"/>
        </w:rPr>
        <w:t xml:space="preserve">Superintendencia General de Valores. Despacho de la Superintendente. </w:t>
      </w:r>
      <w:r w:rsidR="00115803" w:rsidRPr="004302DC">
        <w:rPr>
          <w:rFonts w:ascii="Arial" w:hAnsi="Arial" w:cs="Arial"/>
          <w:szCs w:val="22"/>
        </w:rPr>
        <w:t>A las doce horas del 24 de noviembre de 2022.</w:t>
      </w:r>
      <w:r w:rsidR="0067178B" w:rsidRPr="004302DC">
        <w:rPr>
          <w:rFonts w:ascii="Arial" w:hAnsi="Arial" w:cs="Arial"/>
          <w:szCs w:val="22"/>
        </w:rPr>
        <w:t xml:space="preserve"> Publicado en el Diario Oficial La Gaceta No. 244 del 22 de diciembre del 2022.  Rige a partir del 23 de noviembre del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BAEB" w14:textId="77777777" w:rsidR="004302DC" w:rsidRDefault="004302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E4BE"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DEE1" w14:textId="77777777" w:rsidR="004302DC" w:rsidRDefault="004302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DA8A708"/>
    <w:lvl w:ilvl="0">
      <w:start w:val="1"/>
      <w:numFmt w:val="decimal"/>
      <w:pStyle w:val="Listaconnmeros"/>
      <w:lvlText w:val="%1."/>
      <w:lvlJc w:val="left"/>
      <w:pPr>
        <w:tabs>
          <w:tab w:val="num" w:pos="360"/>
        </w:tabs>
        <w:ind w:left="360" w:hanging="360"/>
      </w:pPr>
    </w:lvl>
  </w:abstractNum>
  <w:abstractNum w:abstractNumId="1" w15:restartNumberingAfterBreak="0">
    <w:nsid w:val="04E32A0C"/>
    <w:multiLevelType w:val="hybridMultilevel"/>
    <w:tmpl w:val="028C2EEA"/>
    <w:lvl w:ilvl="0" w:tplc="0CCC61C8">
      <w:start w:val="1"/>
      <w:numFmt w:val="decimal"/>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6B6198F"/>
    <w:multiLevelType w:val="hybridMultilevel"/>
    <w:tmpl w:val="14962DFC"/>
    <w:lvl w:ilvl="0" w:tplc="9CCE1030">
      <w:start w:val="1"/>
      <w:numFmt w:val="upperRoman"/>
      <w:lvlText w:val="%1."/>
      <w:lvlJc w:val="right"/>
      <w:pPr>
        <w:ind w:left="720" w:hanging="360"/>
      </w:pPr>
      <w:rPr>
        <w:b w:val="0"/>
        <w:strike w:val="0"/>
        <w:dstrike w:val="0"/>
        <w:color w:val="auto"/>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88054FA"/>
    <w:multiLevelType w:val="multilevel"/>
    <w:tmpl w:val="617A0D4E"/>
    <w:lvl w:ilvl="0">
      <w:start w:val="1"/>
      <w:numFmt w:val="decimal"/>
      <w:pStyle w:val="Ttulo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F5247E"/>
    <w:multiLevelType w:val="hybridMultilevel"/>
    <w:tmpl w:val="A0D6A23C"/>
    <w:lvl w:ilvl="0" w:tplc="A58C6C6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76C3292"/>
    <w:multiLevelType w:val="hybridMultilevel"/>
    <w:tmpl w:val="36DE43A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8B46130"/>
    <w:multiLevelType w:val="hybridMultilevel"/>
    <w:tmpl w:val="E638B832"/>
    <w:lvl w:ilvl="0" w:tplc="F0D26780">
      <w:start w:val="1"/>
      <w:numFmt w:val="decimal"/>
      <w:lvlText w:val="%1."/>
      <w:lvlJc w:val="left"/>
      <w:pPr>
        <w:ind w:left="720" w:hanging="360"/>
      </w:pPr>
      <w:rPr>
        <w:b w:val="0"/>
        <w:i w:val="0"/>
        <w:strike w:val="0"/>
        <w:dstrike w:val="0"/>
        <w:color w:val="000000" w:themeColor="text1"/>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1AD755F0"/>
    <w:multiLevelType w:val="hybridMultilevel"/>
    <w:tmpl w:val="94A025A8"/>
    <w:lvl w:ilvl="0" w:tplc="140A000F">
      <w:start w:val="1"/>
      <w:numFmt w:val="decimal"/>
      <w:lvlText w:val="%1."/>
      <w:lvlJc w:val="left"/>
      <w:pPr>
        <w:ind w:left="720" w:hanging="360"/>
      </w:pPr>
      <w:rPr>
        <w:b w:val="0"/>
      </w:rPr>
    </w:lvl>
    <w:lvl w:ilvl="1" w:tplc="24705A70">
      <w:start w:val="1"/>
      <w:numFmt w:val="lowerLetter"/>
      <w:lvlText w:val="%2)"/>
      <w:lvlJc w:val="left"/>
      <w:pPr>
        <w:ind w:left="1980" w:hanging="90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1C023D6D"/>
    <w:multiLevelType w:val="hybridMultilevel"/>
    <w:tmpl w:val="317246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AF0AF1"/>
    <w:multiLevelType w:val="hybridMultilevel"/>
    <w:tmpl w:val="E53CAC24"/>
    <w:lvl w:ilvl="0" w:tplc="140A0017">
      <w:start w:val="1"/>
      <w:numFmt w:val="lowerLetter"/>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26320113"/>
    <w:multiLevelType w:val="hybridMultilevel"/>
    <w:tmpl w:val="B2806FD8"/>
    <w:lvl w:ilvl="0" w:tplc="25C68C8E">
      <w:start w:val="1"/>
      <w:numFmt w:val="lowerLetter"/>
      <w:lvlText w:val="%1)"/>
      <w:lvlJc w:val="left"/>
      <w:pPr>
        <w:ind w:left="720"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590C3D"/>
    <w:multiLevelType w:val="hybridMultilevel"/>
    <w:tmpl w:val="4156CA24"/>
    <w:lvl w:ilvl="0" w:tplc="140A0017">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14" w15:restartNumberingAfterBreak="0">
    <w:nsid w:val="33E76D4B"/>
    <w:multiLevelType w:val="hybridMultilevel"/>
    <w:tmpl w:val="28222946"/>
    <w:lvl w:ilvl="0" w:tplc="D40A2CA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8D63738"/>
    <w:multiLevelType w:val="hybridMultilevel"/>
    <w:tmpl w:val="19066E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3307E1"/>
    <w:multiLevelType w:val="hybridMultilevel"/>
    <w:tmpl w:val="DBDE65DA"/>
    <w:lvl w:ilvl="0" w:tplc="140A001B">
      <w:start w:val="1"/>
      <w:numFmt w:val="lowerRoman"/>
      <w:lvlText w:val="%1."/>
      <w:lvlJc w:val="right"/>
      <w:pPr>
        <w:ind w:left="1776" w:hanging="360"/>
      </w:pPr>
      <w:rPr>
        <w:b w:val="0"/>
        <w:bCs/>
      </w:rPr>
    </w:lvl>
    <w:lvl w:ilvl="1" w:tplc="140A0019">
      <w:start w:val="1"/>
      <w:numFmt w:val="lowerLetter"/>
      <w:lvlText w:val="%2."/>
      <w:lvlJc w:val="left"/>
      <w:pPr>
        <w:ind w:left="2005" w:hanging="360"/>
      </w:pPr>
    </w:lvl>
    <w:lvl w:ilvl="2" w:tplc="140A001B">
      <w:start w:val="1"/>
      <w:numFmt w:val="lowerRoman"/>
      <w:lvlText w:val="%3."/>
      <w:lvlJc w:val="right"/>
      <w:pPr>
        <w:ind w:left="2725" w:hanging="180"/>
      </w:pPr>
    </w:lvl>
    <w:lvl w:ilvl="3" w:tplc="140A000F">
      <w:start w:val="1"/>
      <w:numFmt w:val="decimal"/>
      <w:lvlText w:val="%4."/>
      <w:lvlJc w:val="left"/>
      <w:pPr>
        <w:ind w:left="3445" w:hanging="360"/>
      </w:pPr>
    </w:lvl>
    <w:lvl w:ilvl="4" w:tplc="140A0019">
      <w:start w:val="1"/>
      <w:numFmt w:val="lowerLetter"/>
      <w:lvlText w:val="%5."/>
      <w:lvlJc w:val="left"/>
      <w:pPr>
        <w:ind w:left="4165" w:hanging="360"/>
      </w:pPr>
    </w:lvl>
    <w:lvl w:ilvl="5" w:tplc="140A001B">
      <w:start w:val="1"/>
      <w:numFmt w:val="lowerRoman"/>
      <w:lvlText w:val="%6."/>
      <w:lvlJc w:val="right"/>
      <w:pPr>
        <w:ind w:left="4885" w:hanging="180"/>
      </w:pPr>
    </w:lvl>
    <w:lvl w:ilvl="6" w:tplc="140A000F">
      <w:start w:val="1"/>
      <w:numFmt w:val="decimal"/>
      <w:lvlText w:val="%7."/>
      <w:lvlJc w:val="left"/>
      <w:pPr>
        <w:ind w:left="5605" w:hanging="360"/>
      </w:pPr>
    </w:lvl>
    <w:lvl w:ilvl="7" w:tplc="140A0019">
      <w:start w:val="1"/>
      <w:numFmt w:val="lowerLetter"/>
      <w:lvlText w:val="%8."/>
      <w:lvlJc w:val="left"/>
      <w:pPr>
        <w:ind w:left="6325" w:hanging="360"/>
      </w:pPr>
    </w:lvl>
    <w:lvl w:ilvl="8" w:tplc="140A001B">
      <w:start w:val="1"/>
      <w:numFmt w:val="lowerRoman"/>
      <w:lvlText w:val="%9."/>
      <w:lvlJc w:val="right"/>
      <w:pPr>
        <w:ind w:left="7045" w:hanging="180"/>
      </w:pPr>
    </w:lvl>
  </w:abstractNum>
  <w:abstractNum w:abstractNumId="19" w15:restartNumberingAfterBreak="0">
    <w:nsid w:val="3AE359D2"/>
    <w:multiLevelType w:val="multilevel"/>
    <w:tmpl w:val="82A0C576"/>
    <w:lvl w:ilvl="0">
      <w:start w:val="3"/>
      <w:numFmt w:val="decimal"/>
      <w:lvlText w:val="%1."/>
      <w:lvlJc w:val="left"/>
      <w:pPr>
        <w:tabs>
          <w:tab w:val="num" w:pos="360"/>
        </w:tabs>
        <w:ind w:left="360" w:hanging="360"/>
      </w:pPr>
      <w:rPr>
        <w:rFonts w:hint="default"/>
        <w:b/>
        <w:i w:val="0"/>
        <w:color w:val="FFFFFF"/>
        <w:sz w:val="4"/>
        <w:szCs w:val="4"/>
      </w:rPr>
    </w:lvl>
    <w:lvl w:ilvl="1">
      <w:start w:val="1"/>
      <w:numFmt w:val="decimal"/>
      <w:lvlText w:val="%1.%2."/>
      <w:lvlJc w:val="left"/>
      <w:pPr>
        <w:tabs>
          <w:tab w:val="num" w:pos="792"/>
        </w:tabs>
        <w:ind w:left="792" w:hanging="432"/>
      </w:pPr>
      <w:rPr>
        <w:rFonts w:hint="default"/>
        <w:b w:val="0"/>
        <w:i w:val="0"/>
        <w:sz w:val="22"/>
        <w:szCs w:val="16"/>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b w:val="0"/>
      </w:rPr>
    </w:lvl>
    <w:lvl w:ilvl="5">
      <w:start w:val="1"/>
      <w:numFmt w:val="decimal"/>
      <w:lvlText w:val="%1.%2.%3.%4.%5.%6."/>
      <w:lvlJc w:val="left"/>
      <w:pPr>
        <w:tabs>
          <w:tab w:val="num" w:pos="2736"/>
        </w:tabs>
        <w:ind w:left="2736" w:hanging="936"/>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744"/>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20" w15:restartNumberingAfterBreak="0">
    <w:nsid w:val="3F346C2E"/>
    <w:multiLevelType w:val="hybridMultilevel"/>
    <w:tmpl w:val="34448716"/>
    <w:lvl w:ilvl="0" w:tplc="31A0341A">
      <w:start w:val="1"/>
      <w:numFmt w:val="lowerLetter"/>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9440118"/>
    <w:multiLevelType w:val="hybridMultilevel"/>
    <w:tmpl w:val="4E7A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C4C50FB"/>
    <w:multiLevelType w:val="hybridMultilevel"/>
    <w:tmpl w:val="28222946"/>
    <w:lvl w:ilvl="0" w:tplc="D40A2CA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4ED50A52"/>
    <w:multiLevelType w:val="hybridMultilevel"/>
    <w:tmpl w:val="B85E8EB4"/>
    <w:lvl w:ilvl="0" w:tplc="D4CC4FE6">
      <w:start w:val="1"/>
      <w:numFmt w:val="upperLetter"/>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52199"/>
    <w:multiLevelType w:val="hybridMultilevel"/>
    <w:tmpl w:val="19066E9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931F95"/>
    <w:multiLevelType w:val="hybridMultilevel"/>
    <w:tmpl w:val="1C4C0AF0"/>
    <w:lvl w:ilvl="0" w:tplc="DBC48464">
      <w:start w:val="1"/>
      <w:numFmt w:val="lowerLetter"/>
      <w:lvlText w:val="%1)"/>
      <w:lvlJc w:val="left"/>
      <w:pPr>
        <w:ind w:left="1211" w:hanging="360"/>
      </w:pPr>
      <w:rPr>
        <w:b w:val="0"/>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7" w15:restartNumberingAfterBreak="0">
    <w:nsid w:val="74FA5EEE"/>
    <w:multiLevelType w:val="hybridMultilevel"/>
    <w:tmpl w:val="0922A46E"/>
    <w:lvl w:ilvl="0" w:tplc="AAFE7410">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8" w15:restartNumberingAfterBreak="0">
    <w:nsid w:val="78BE6843"/>
    <w:multiLevelType w:val="hybridMultilevel"/>
    <w:tmpl w:val="1D2C7C3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D920D3B"/>
    <w:multiLevelType w:val="hybridMultilevel"/>
    <w:tmpl w:val="0066AC7C"/>
    <w:lvl w:ilvl="0" w:tplc="17AA22B4">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17"/>
  </w:num>
  <w:num w:numId="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231B9"/>
    <w:rsid w:val="00031E3C"/>
    <w:rsid w:val="000702E4"/>
    <w:rsid w:val="000C43F5"/>
    <w:rsid w:val="000C62EE"/>
    <w:rsid w:val="000F4C2E"/>
    <w:rsid w:val="00115803"/>
    <w:rsid w:val="00134708"/>
    <w:rsid w:val="001577AC"/>
    <w:rsid w:val="001B1484"/>
    <w:rsid w:val="00211A42"/>
    <w:rsid w:val="00212A1A"/>
    <w:rsid w:val="00227AA2"/>
    <w:rsid w:val="00237AB7"/>
    <w:rsid w:val="002445BF"/>
    <w:rsid w:val="002462B7"/>
    <w:rsid w:val="00270327"/>
    <w:rsid w:val="00272406"/>
    <w:rsid w:val="00341FBE"/>
    <w:rsid w:val="003452B3"/>
    <w:rsid w:val="00345562"/>
    <w:rsid w:val="003959B0"/>
    <w:rsid w:val="003B50ED"/>
    <w:rsid w:val="004302DC"/>
    <w:rsid w:val="004649DF"/>
    <w:rsid w:val="004A41F7"/>
    <w:rsid w:val="00581D39"/>
    <w:rsid w:val="005A768E"/>
    <w:rsid w:val="00616D90"/>
    <w:rsid w:val="0063177A"/>
    <w:rsid w:val="006354AB"/>
    <w:rsid w:val="00657F02"/>
    <w:rsid w:val="0067178B"/>
    <w:rsid w:val="006B1248"/>
    <w:rsid w:val="006C1493"/>
    <w:rsid w:val="006E491B"/>
    <w:rsid w:val="006F53E4"/>
    <w:rsid w:val="007068C2"/>
    <w:rsid w:val="0076523E"/>
    <w:rsid w:val="00772D1A"/>
    <w:rsid w:val="00783B2C"/>
    <w:rsid w:val="007967E9"/>
    <w:rsid w:val="007B4C1A"/>
    <w:rsid w:val="0082122F"/>
    <w:rsid w:val="0084108F"/>
    <w:rsid w:val="00873D09"/>
    <w:rsid w:val="00880E31"/>
    <w:rsid w:val="008E6D41"/>
    <w:rsid w:val="0093370A"/>
    <w:rsid w:val="0093499C"/>
    <w:rsid w:val="009759B1"/>
    <w:rsid w:val="00982F89"/>
    <w:rsid w:val="00983BB7"/>
    <w:rsid w:val="00987928"/>
    <w:rsid w:val="009B31B2"/>
    <w:rsid w:val="00A748BA"/>
    <w:rsid w:val="00A752FD"/>
    <w:rsid w:val="00AA3B39"/>
    <w:rsid w:val="00AA48A8"/>
    <w:rsid w:val="00AC2B5F"/>
    <w:rsid w:val="00AF6325"/>
    <w:rsid w:val="00B2356E"/>
    <w:rsid w:val="00B44D0F"/>
    <w:rsid w:val="00B45F9C"/>
    <w:rsid w:val="00BD2C5C"/>
    <w:rsid w:val="00C26D9C"/>
    <w:rsid w:val="00C34BC2"/>
    <w:rsid w:val="00CD5F5E"/>
    <w:rsid w:val="00CE39B3"/>
    <w:rsid w:val="00CF1CDA"/>
    <w:rsid w:val="00D92327"/>
    <w:rsid w:val="00DE26A5"/>
    <w:rsid w:val="00DF6B05"/>
    <w:rsid w:val="00E13153"/>
    <w:rsid w:val="00E642AA"/>
    <w:rsid w:val="00ED49D9"/>
    <w:rsid w:val="00F37284"/>
    <w:rsid w:val="00F4079E"/>
    <w:rsid w:val="00F47843"/>
    <w:rsid w:val="00F77EA4"/>
    <w:rsid w:val="00F87CD2"/>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CAPÍTULO,Car10"/>
    <w:basedOn w:val="Normal"/>
    <w:next w:val="Normal"/>
    <w:link w:val="Ttulo2Car"/>
    <w:uiPriority w:val="1"/>
    <w:semiHidden/>
    <w:unhideWhenUsed/>
    <w:qFormat/>
    <w:rsid w:val="00F87CD2"/>
    <w:pPr>
      <w:keepNext/>
      <w:jc w:val="both"/>
      <w:outlineLvl w:val="1"/>
    </w:pPr>
    <w:rPr>
      <w:sz w:val="28"/>
      <w:szCs w:val="20"/>
    </w:rPr>
  </w:style>
  <w:style w:type="paragraph" w:styleId="Ttulo4">
    <w:name w:val="heading 4"/>
    <w:basedOn w:val="Normal"/>
    <w:next w:val="Normal"/>
    <w:link w:val="Ttulo4Car"/>
    <w:uiPriority w:val="9"/>
    <w:semiHidden/>
    <w:unhideWhenUsed/>
    <w:qFormat/>
    <w:rsid w:val="000702E4"/>
    <w:pPr>
      <w:keepNext/>
      <w:keepLines/>
      <w:spacing w:before="40"/>
      <w:outlineLvl w:val="3"/>
    </w:pPr>
    <w:rPr>
      <w:rFonts w:asciiTheme="majorHAnsi" w:eastAsiaTheme="majorEastAsia" w:hAnsiTheme="majorHAnsi" w:cstheme="majorBidi"/>
      <w:i/>
      <w:iCs/>
      <w:color w:val="2F5496" w:themeColor="accent1" w:themeShade="BF"/>
      <w:lang w:val="es-CR"/>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tabs>
        <w:tab w:val="num" w:pos="360"/>
      </w:tabs>
      <w:ind w:left="360" w:hanging="360"/>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99"/>
    <w:rsid w:val="005A768E"/>
    <w:pPr>
      <w:spacing w:after="120"/>
    </w:pPr>
  </w:style>
  <w:style w:type="character" w:customStyle="1" w:styleId="TextoindependienteCar">
    <w:name w:val="Texto independiente Car"/>
    <w:basedOn w:val="Fuentedeprrafopredeter"/>
    <w:link w:val="Textoindependiente"/>
    <w:uiPriority w:val="99"/>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tabs>
        <w:tab w:val="num" w:pos="720"/>
      </w:tabs>
      <w:spacing w:before="60"/>
      <w:ind w:left="720" w:hanging="72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unhideWhenUsed/>
    <w:rsid w:val="000702E4"/>
    <w:pPr>
      <w:spacing w:after="120" w:line="480" w:lineRule="auto"/>
    </w:pPr>
  </w:style>
  <w:style w:type="character" w:customStyle="1" w:styleId="Textoindependiente2Car">
    <w:name w:val="Texto independiente 2 Car"/>
    <w:basedOn w:val="Fuentedeprrafopredeter"/>
    <w:link w:val="Textoindependiente2"/>
    <w:semiHidden/>
    <w:rsid w:val="000702E4"/>
    <w:rPr>
      <w:rFonts w:ascii="Times New Roman" w:eastAsia="Times New Roman" w:hAnsi="Times New Roman" w:cs="Times New Roman"/>
      <w:szCs w:val="24"/>
      <w:lang w:val="es-ES" w:eastAsia="es-ES"/>
    </w:rPr>
  </w:style>
  <w:style w:type="paragraph" w:styleId="Textoindependiente3">
    <w:name w:val="Body Text 3"/>
    <w:basedOn w:val="Normal"/>
    <w:link w:val="Textoindependiente3Car"/>
    <w:semiHidden/>
    <w:unhideWhenUsed/>
    <w:rsid w:val="000702E4"/>
    <w:pPr>
      <w:spacing w:after="120"/>
    </w:pPr>
    <w:rPr>
      <w:sz w:val="16"/>
      <w:szCs w:val="16"/>
    </w:rPr>
  </w:style>
  <w:style w:type="character" w:customStyle="1" w:styleId="Textoindependiente3Car">
    <w:name w:val="Texto independiente 3 Car"/>
    <w:basedOn w:val="Fuentedeprrafopredeter"/>
    <w:link w:val="Textoindependiente3"/>
    <w:semiHidden/>
    <w:rsid w:val="000702E4"/>
    <w:rPr>
      <w:rFonts w:ascii="Times New Roman" w:eastAsia="Times New Roman" w:hAnsi="Times New Roman" w:cs="Times New Roman"/>
      <w:sz w:val="16"/>
      <w:szCs w:val="16"/>
      <w:lang w:val="es-ES" w:eastAsia="es-ES"/>
    </w:rPr>
  </w:style>
  <w:style w:type="character" w:customStyle="1" w:styleId="Ttulo4Car">
    <w:name w:val="Título 4 Car"/>
    <w:basedOn w:val="Fuentedeprrafopredeter"/>
    <w:link w:val="Ttulo4"/>
    <w:uiPriority w:val="9"/>
    <w:semiHidden/>
    <w:rsid w:val="000702E4"/>
    <w:rPr>
      <w:rFonts w:asciiTheme="majorHAnsi" w:eastAsiaTheme="majorEastAsia" w:hAnsiTheme="majorHAnsi" w:cstheme="majorBidi"/>
      <w:i/>
      <w:iCs/>
      <w:color w:val="2F5496" w:themeColor="accent1" w:themeShade="BF"/>
      <w:szCs w:val="24"/>
      <w:lang w:eastAsia="es-ES"/>
    </w:rPr>
  </w:style>
  <w:style w:type="paragraph" w:customStyle="1" w:styleId="CNV">
    <w:name w:val="CNV"/>
    <w:basedOn w:val="Normal"/>
    <w:rsid w:val="000702E4"/>
    <w:pPr>
      <w:jc w:val="both"/>
    </w:pPr>
    <w:rPr>
      <w:sz w:val="24"/>
      <w:szCs w:val="20"/>
      <w:lang w:val="es-ES_tradnl" w:eastAsia="en-US"/>
    </w:rPr>
  </w:style>
  <w:style w:type="character" w:customStyle="1" w:styleId="Ttulo2Car">
    <w:name w:val="Título 2 Car"/>
    <w:aliases w:val="CAPÍTULO Car,Car10 Car"/>
    <w:basedOn w:val="Fuentedeprrafopredeter"/>
    <w:link w:val="Ttulo2"/>
    <w:uiPriority w:val="1"/>
    <w:semiHidden/>
    <w:rsid w:val="00F87CD2"/>
    <w:rPr>
      <w:rFonts w:ascii="Times New Roman" w:eastAsia="Times New Roman" w:hAnsi="Times New Roman" w:cs="Times New Roman"/>
      <w:sz w:val="28"/>
      <w:szCs w:val="20"/>
      <w:lang w:val="es-ES" w:eastAsia="es-ES"/>
    </w:rPr>
  </w:style>
  <w:style w:type="character" w:styleId="Hipervnculo">
    <w:name w:val="Hyperlink"/>
    <w:basedOn w:val="Fuentedeprrafopredeter"/>
    <w:uiPriority w:val="99"/>
    <w:semiHidden/>
    <w:unhideWhenUsed/>
    <w:rsid w:val="00F87CD2"/>
    <w:rPr>
      <w:color w:val="0563C1" w:themeColor="hyperlink"/>
      <w:u w:val="single"/>
    </w:rPr>
  </w:style>
  <w:style w:type="character" w:styleId="Hipervnculovisitado">
    <w:name w:val="FollowedHyperlink"/>
    <w:basedOn w:val="Fuentedeprrafopredeter"/>
    <w:uiPriority w:val="99"/>
    <w:semiHidden/>
    <w:unhideWhenUsed/>
    <w:rsid w:val="00F87CD2"/>
    <w:rPr>
      <w:color w:val="954F72" w:themeColor="followedHyperlink"/>
      <w:u w:val="single"/>
    </w:rPr>
  </w:style>
  <w:style w:type="character" w:customStyle="1" w:styleId="Ttulo2Car1">
    <w:name w:val="Título 2 Car1"/>
    <w:aliases w:val="CAPÍTULO Car1,Car10 Car1"/>
    <w:basedOn w:val="Fuentedeprrafopredeter"/>
    <w:uiPriority w:val="1"/>
    <w:semiHidden/>
    <w:rsid w:val="00F87CD2"/>
    <w:rPr>
      <w:rFonts w:asciiTheme="majorHAnsi" w:eastAsiaTheme="majorEastAsia" w:hAnsiTheme="majorHAnsi" w:cstheme="majorBidi"/>
      <w:color w:val="2F5496" w:themeColor="accent1" w:themeShade="BF"/>
      <w:sz w:val="26"/>
      <w:szCs w:val="26"/>
      <w:lang w:val="es-ES"/>
    </w:rPr>
  </w:style>
  <w:style w:type="paragraph" w:customStyle="1" w:styleId="msonormal0">
    <w:name w:val="msonormal"/>
    <w:basedOn w:val="Normal"/>
    <w:rsid w:val="00F87CD2"/>
    <w:pPr>
      <w:spacing w:before="100" w:beforeAutospacing="1" w:after="100" w:afterAutospacing="1"/>
    </w:pPr>
    <w:rPr>
      <w:sz w:val="24"/>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basedOn w:val="Fuentedeprrafopredeter"/>
    <w:semiHidden/>
    <w:rsid w:val="00F87CD2"/>
    <w:rPr>
      <w:rFonts w:ascii="Arial" w:hAnsi="Arial"/>
      <w:sz w:val="20"/>
      <w:szCs w:val="20"/>
      <w:lang w:val="es-ES"/>
    </w:rPr>
  </w:style>
  <w:style w:type="paragraph" w:styleId="Textocomentario">
    <w:name w:val="annotation text"/>
    <w:basedOn w:val="Normal"/>
    <w:link w:val="TextocomentarioCar"/>
    <w:uiPriority w:val="99"/>
    <w:semiHidden/>
    <w:unhideWhenUsed/>
    <w:rsid w:val="00F87CD2"/>
    <w:pPr>
      <w:spacing w:after="160"/>
    </w:pPr>
    <w:rPr>
      <w:rFonts w:ascii="Arial" w:eastAsiaTheme="minorHAnsi" w:hAnsi="Arial" w:cstheme="minorBidi"/>
      <w:sz w:val="20"/>
      <w:szCs w:val="20"/>
      <w:lang w:eastAsia="en-US"/>
    </w:rPr>
  </w:style>
  <w:style w:type="character" w:customStyle="1" w:styleId="TextocomentarioCar">
    <w:name w:val="Texto comentario Car"/>
    <w:basedOn w:val="Fuentedeprrafopredeter"/>
    <w:link w:val="Textocomentario"/>
    <w:uiPriority w:val="99"/>
    <w:semiHidden/>
    <w:rsid w:val="00F87CD2"/>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7CD2"/>
    <w:rPr>
      <w:b/>
      <w:bCs/>
    </w:rPr>
  </w:style>
  <w:style w:type="character" w:customStyle="1" w:styleId="AsuntodelcomentarioCar">
    <w:name w:val="Asunto del comentario Car"/>
    <w:basedOn w:val="TextocomentarioCar"/>
    <w:link w:val="Asuntodelcomentario"/>
    <w:uiPriority w:val="99"/>
    <w:semiHidden/>
    <w:rsid w:val="00F87CD2"/>
    <w:rPr>
      <w:rFonts w:ascii="Arial" w:hAnsi="Arial"/>
      <w:b/>
      <w:bCs/>
      <w:sz w:val="20"/>
      <w:szCs w:val="20"/>
      <w:lang w:val="es-ES"/>
    </w:rPr>
  </w:style>
  <w:style w:type="paragraph" w:styleId="Textodeglobo">
    <w:name w:val="Balloon Text"/>
    <w:basedOn w:val="Normal"/>
    <w:link w:val="TextodegloboCar"/>
    <w:uiPriority w:val="99"/>
    <w:semiHidden/>
    <w:unhideWhenUsed/>
    <w:rsid w:val="00F87CD2"/>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F87CD2"/>
    <w:rPr>
      <w:rFonts w:ascii="Segoe UI" w:hAnsi="Segoe UI" w:cs="Segoe UI"/>
      <w:sz w:val="18"/>
      <w:szCs w:val="18"/>
      <w:lang w:val="es-ES"/>
    </w:rPr>
  </w:style>
  <w:style w:type="paragraph" w:styleId="Sinespaciado">
    <w:name w:val="No Spacing"/>
    <w:uiPriority w:val="1"/>
    <w:qFormat/>
    <w:rsid w:val="00F87CD2"/>
    <w:pPr>
      <w:spacing w:after="0" w:line="240" w:lineRule="auto"/>
    </w:pPr>
    <w:rPr>
      <w:rFonts w:ascii="Arial" w:hAnsi="Arial"/>
      <w:lang w:val="es-ES"/>
    </w:rPr>
  </w:style>
  <w:style w:type="character" w:styleId="Refdecomentario">
    <w:name w:val="annotation reference"/>
    <w:basedOn w:val="Fuentedeprrafopredeter"/>
    <w:uiPriority w:val="99"/>
    <w:semiHidden/>
    <w:unhideWhenUsed/>
    <w:rsid w:val="00F87CD2"/>
    <w:rPr>
      <w:sz w:val="16"/>
      <w:szCs w:val="16"/>
    </w:rPr>
  </w:style>
  <w:style w:type="table" w:customStyle="1" w:styleId="Tablaconcuadrcula1">
    <w:name w:val="Tabla con cuadrícula1"/>
    <w:basedOn w:val="Tablanormal"/>
    <w:uiPriority w:val="39"/>
    <w:rsid w:val="00F87C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F87C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F87CD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semiHidden/>
    <w:unhideWhenUsed/>
    <w:rsid w:val="00983BB7"/>
    <w:pPr>
      <w:numPr>
        <w:numId w:val="1"/>
      </w:numPr>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9773">
      <w:bodyDiv w:val="1"/>
      <w:marLeft w:val="0"/>
      <w:marRight w:val="0"/>
      <w:marTop w:val="0"/>
      <w:marBottom w:val="0"/>
      <w:divBdr>
        <w:top w:val="none" w:sz="0" w:space="0" w:color="auto"/>
        <w:left w:val="none" w:sz="0" w:space="0" w:color="auto"/>
        <w:bottom w:val="none" w:sz="0" w:space="0" w:color="auto"/>
        <w:right w:val="none" w:sz="0" w:space="0" w:color="auto"/>
      </w:divBdr>
    </w:div>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1834485347">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Props1.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customXml/itemProps2.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4.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2022-11-24T18:29:00Z</dcterms:created>
  <dcterms:modified xsi:type="dcterms:W3CDTF">2023-02-14T21:14:00Z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MSIP_Label_b8b4be34-365a-4a68-b9fb-75c1b6874315_Enabled">
    <vt:lpwstr>true</vt:lpwstr>
  </property>
  <property fmtid="{D5CDD505-2E9C-101B-9397-08002B2CF9AE}" pid="4" name="MSIP_Label_b8b4be34-365a-4a68-b9fb-75c1b6874315_SetDate">
    <vt:lpwstr>2023-02-14T21:09:36Z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562cddee-cf80-4f2f-beb5-0000f42a5450</vt:lpwstr>
  </property>
  <property fmtid="{D5CDD505-2E9C-101B-9397-08002B2CF9AE}" pid="9" name="MSIP_Label_b8b4be34-365a-4a68-b9fb-75c1b6874315_ContentBits">
    <vt:lpwstr>2</vt:lpwstr>
  </property>
</Properties>
</file>