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D86F" w14:textId="77777777" w:rsidR="004A22D2" w:rsidRPr="001A0AE2" w:rsidRDefault="004A22D2" w:rsidP="001A0AE2">
      <w:pPr>
        <w:tabs>
          <w:tab w:val="left" w:pos="8910"/>
        </w:tabs>
        <w:spacing w:before="240" w:after="240"/>
        <w:jc w:val="both"/>
        <w:rPr>
          <w:rFonts w:ascii="Arial" w:hAnsi="Arial" w:cs="Arial"/>
          <w:b/>
          <w:bCs/>
          <w:szCs w:val="22"/>
          <w:lang w:val="es-MX"/>
        </w:rPr>
      </w:pPr>
      <w:r w:rsidRPr="001A0AE2">
        <w:rPr>
          <w:rFonts w:ascii="Arial" w:hAnsi="Arial" w:cs="Arial"/>
          <w:b/>
          <w:bCs/>
          <w:lang w:val="es-ES"/>
        </w:rPr>
        <w:t>SGV-A-</w:t>
      </w:r>
      <w:r w:rsidR="00291B9C" w:rsidRPr="001A0AE2">
        <w:rPr>
          <w:rFonts w:ascii="Arial" w:hAnsi="Arial" w:cs="Arial"/>
          <w:b/>
          <w:bCs/>
          <w:lang w:val="es-ES"/>
        </w:rPr>
        <w:t>279</w:t>
      </w:r>
      <w:r w:rsidRPr="001A0AE2">
        <w:rPr>
          <w:rFonts w:ascii="Arial" w:hAnsi="Arial" w:cs="Arial"/>
          <w:b/>
          <w:bCs/>
          <w:lang w:val="es-ES"/>
        </w:rPr>
        <w:t>.  MODIFICACIÓN A</w:t>
      </w:r>
      <w:r w:rsidR="00E34FB9" w:rsidRPr="001A0AE2">
        <w:rPr>
          <w:rFonts w:ascii="Arial" w:hAnsi="Arial" w:cs="Arial"/>
          <w:b/>
          <w:bCs/>
          <w:lang w:val="es-ES"/>
        </w:rPr>
        <w:t xml:space="preserve">L </w:t>
      </w:r>
      <w:r w:rsidRPr="001A0AE2">
        <w:rPr>
          <w:rFonts w:ascii="Arial" w:hAnsi="Arial" w:cs="Arial"/>
          <w:b/>
          <w:bCs/>
          <w:lang w:val="es-ES"/>
        </w:rPr>
        <w:t>ACUERDO</w:t>
      </w:r>
      <w:r w:rsidR="00E34FB9" w:rsidRPr="001A0AE2">
        <w:rPr>
          <w:rFonts w:ascii="Arial" w:hAnsi="Arial" w:cs="Arial"/>
          <w:b/>
          <w:bCs/>
          <w:lang w:val="es-ES"/>
        </w:rPr>
        <w:t xml:space="preserve"> </w:t>
      </w:r>
      <w:r w:rsidRPr="001A0AE2">
        <w:rPr>
          <w:rFonts w:ascii="Arial" w:hAnsi="Arial" w:cs="Arial"/>
          <w:b/>
          <w:bCs/>
          <w:lang w:val="es-ES"/>
        </w:rPr>
        <w:t>SGV-A-257 Información Básica de las Entidades Reguladas y Supervisadas por la Superintendencia General de Valores</w:t>
      </w:r>
      <w:r w:rsidR="00352CD5" w:rsidRPr="001A0AE2">
        <w:rPr>
          <w:rStyle w:val="Refdenotaalpie"/>
          <w:rFonts w:ascii="Arial" w:hAnsi="Arial" w:cs="Arial"/>
          <w:b/>
          <w:bCs/>
          <w:szCs w:val="22"/>
          <w:lang w:val="es-MX" w:eastAsia="en-US"/>
        </w:rPr>
        <w:footnoteReference w:id="1"/>
      </w:r>
    </w:p>
    <w:p w14:paraId="76970791" w14:textId="77777777" w:rsidR="00123BF7" w:rsidRPr="008D57BF" w:rsidRDefault="00123BF7" w:rsidP="00126E34">
      <w:pPr>
        <w:pStyle w:val="Ttulo"/>
        <w:tabs>
          <w:tab w:val="left" w:pos="2835"/>
        </w:tabs>
        <w:spacing w:before="240" w:after="240"/>
        <w:jc w:val="both"/>
        <w:rPr>
          <w:rFonts w:cs="Arial"/>
          <w:bCs/>
          <w:i w:val="0"/>
          <w:iCs/>
          <w:noProof/>
          <w:sz w:val="22"/>
          <w:szCs w:val="22"/>
          <w:lang w:val="es-ES_tradnl"/>
        </w:rPr>
      </w:pPr>
      <w:r w:rsidRPr="008D57BF">
        <w:rPr>
          <w:rFonts w:cs="Arial"/>
          <w:bCs/>
          <w:i w:val="0"/>
          <w:iCs/>
          <w:noProof/>
          <w:sz w:val="22"/>
          <w:szCs w:val="22"/>
          <w:lang w:val="es-ES_tradnl"/>
        </w:rPr>
        <w:t>Considerando que:</w:t>
      </w:r>
    </w:p>
    <w:p w14:paraId="1B0A3F70" w14:textId="77777777" w:rsidR="0072529E" w:rsidRPr="0072529E" w:rsidRDefault="0072529E" w:rsidP="0072529E">
      <w:pPr>
        <w:pStyle w:val="Numeracin"/>
        <w:spacing w:before="0"/>
        <w:ind w:left="567" w:hanging="567"/>
        <w:rPr>
          <w:rFonts w:ascii="Arial" w:hAnsi="Arial" w:cs="Arial"/>
          <w:szCs w:val="22"/>
        </w:rPr>
      </w:pPr>
      <w:r>
        <w:rPr>
          <w:rFonts w:ascii="Arial" w:hAnsi="Arial" w:cs="Arial"/>
        </w:rPr>
        <w:t>El artículo 8 inciso l) de la Ley Reguladora del Mercado de Valores (LRMV) faculta al Superintendente a exigir a los sujetos fiscalizados toda la información razonablemente necesaria, en las condiciones y periodicidad que la Superintendencia determine, para cumplir adecuadamente con sus funciones supervisoras del mercado de valores.</w:t>
      </w:r>
    </w:p>
    <w:p w14:paraId="7330659B" w14:textId="77777777" w:rsidR="0072529E" w:rsidRDefault="0072529E" w:rsidP="0072529E">
      <w:pPr>
        <w:pStyle w:val="Numeracin"/>
        <w:numPr>
          <w:ilvl w:val="0"/>
          <w:numId w:val="0"/>
        </w:numPr>
        <w:spacing w:before="0"/>
        <w:ind w:left="567"/>
        <w:rPr>
          <w:rFonts w:ascii="Arial" w:hAnsi="Arial" w:cs="Arial"/>
          <w:szCs w:val="22"/>
        </w:rPr>
      </w:pPr>
    </w:p>
    <w:p w14:paraId="22B6D4CF" w14:textId="77777777" w:rsidR="00735F5B" w:rsidRPr="00762134" w:rsidRDefault="00735F5B" w:rsidP="00735F5B">
      <w:pPr>
        <w:pStyle w:val="Numeracin"/>
        <w:spacing w:before="0"/>
        <w:ind w:left="567" w:hanging="567"/>
        <w:rPr>
          <w:rFonts w:ascii="Arial" w:hAnsi="Arial" w:cs="Arial"/>
          <w:szCs w:val="22"/>
        </w:rPr>
      </w:pPr>
      <w:r w:rsidRPr="00762134">
        <w:rPr>
          <w:rFonts w:ascii="Arial" w:hAnsi="Arial" w:cs="Arial"/>
          <w:szCs w:val="22"/>
        </w:rPr>
        <w:t>El artículo 8 inciso j) de la Ley 7732, Ley Reguladora del Mercado de Valores, determina que corresponde al Superintendente General de Valores adoptar todas las acciones necesarias para el cumplimiento efectivo de las funciones de regulación que le competen a la Superintendencia según lo dispuesto en la ley.</w:t>
      </w:r>
    </w:p>
    <w:p w14:paraId="5B0ED972" w14:textId="77777777" w:rsidR="00735F5B" w:rsidRPr="00762134" w:rsidRDefault="00735F5B" w:rsidP="00735F5B">
      <w:pPr>
        <w:pStyle w:val="Numeracin"/>
        <w:numPr>
          <w:ilvl w:val="0"/>
          <w:numId w:val="0"/>
        </w:numPr>
        <w:spacing w:before="0"/>
        <w:ind w:left="567" w:hanging="567"/>
        <w:rPr>
          <w:rFonts w:ascii="Arial" w:hAnsi="Arial" w:cs="Arial"/>
          <w:szCs w:val="22"/>
        </w:rPr>
      </w:pPr>
    </w:p>
    <w:p w14:paraId="63B8D8DB" w14:textId="77777777" w:rsidR="00735F5B" w:rsidRPr="00930C63" w:rsidRDefault="00735F5B" w:rsidP="00735F5B">
      <w:pPr>
        <w:pStyle w:val="Numeracin"/>
        <w:spacing w:before="0"/>
        <w:ind w:left="567" w:hanging="567"/>
        <w:rPr>
          <w:rFonts w:ascii="Arial" w:hAnsi="Arial" w:cs="Arial"/>
          <w:szCs w:val="22"/>
        </w:rPr>
      </w:pPr>
      <w:r w:rsidRPr="00930C63">
        <w:rPr>
          <w:rFonts w:ascii="Arial" w:hAnsi="Arial" w:cs="Arial"/>
          <w:szCs w:val="22"/>
        </w:rPr>
        <w:t>El artículo 105 de la Ley Reguladora del Mercado de Valores, indica que los emisores de valores deberán informar al público, en el menor plazo posible, de la existencia de factores, hechos o decisiones que puedan influir, de modo sensible, en el precio de sus valores.</w:t>
      </w:r>
    </w:p>
    <w:p w14:paraId="45643FB8" w14:textId="77777777" w:rsidR="00735F5B" w:rsidRPr="00762134" w:rsidRDefault="00735F5B" w:rsidP="00735F5B">
      <w:pPr>
        <w:pStyle w:val="Numeracin"/>
        <w:numPr>
          <w:ilvl w:val="0"/>
          <w:numId w:val="0"/>
        </w:numPr>
        <w:spacing w:before="0"/>
        <w:ind w:left="567" w:hanging="567"/>
        <w:rPr>
          <w:rFonts w:ascii="Arial" w:hAnsi="Arial" w:cs="Arial"/>
          <w:szCs w:val="22"/>
        </w:rPr>
      </w:pPr>
    </w:p>
    <w:p w14:paraId="31ED60D8" w14:textId="77777777" w:rsidR="0072529E" w:rsidRDefault="0072529E" w:rsidP="00930C63">
      <w:pPr>
        <w:pStyle w:val="Numeracin"/>
        <w:spacing w:before="0"/>
        <w:ind w:left="567" w:hanging="567"/>
        <w:rPr>
          <w:rFonts w:ascii="Arial" w:hAnsi="Arial" w:cs="Arial"/>
          <w:color w:val="000000"/>
        </w:rPr>
      </w:pPr>
      <w:r w:rsidRPr="00930C63">
        <w:rPr>
          <w:rFonts w:ascii="Arial" w:hAnsi="Arial" w:cs="Arial"/>
        </w:rPr>
        <w:t xml:space="preserve">Mediante el Artículo 13 del Acta de la Sesión 81-99, celebrada el 18 de marzo de 1999, el Consejo Nacional de Supervisión del Sistema Financiero aprobó el Reglamento sobre el Suministro de Información Periódica, Hechos Relevantes y otras Obligaciones de Información con lineamientos sobre los deberes de comunicación de los diferentes participantes en el mercado de valores. Posteriormente, mediante el Artículo 11 del Acta de la Sesión 1579-2020, celebrada el 1 de junio de 2020, se aprobó la adición de un artículo 7bis al Reglamento, que tiene por objetivo hacer más </w:t>
      </w:r>
      <w:r w:rsidRPr="00857DD9">
        <w:rPr>
          <w:rFonts w:ascii="Arial" w:hAnsi="Arial" w:cs="Arial"/>
        </w:rPr>
        <w:t xml:space="preserve">eficiente el proceso de captura de información sobre miembros de órgano dirección, alta gerencia y otros órganos de </w:t>
      </w:r>
      <w:r w:rsidRPr="00857DD9">
        <w:rPr>
          <w:rFonts w:ascii="Arial" w:hAnsi="Arial" w:cs="Arial"/>
          <w:color w:val="000000"/>
        </w:rPr>
        <w:t>gobierno de las entidades supervisadas y fiscalizadas, mediante las herramientas informáticas de autogestión Sistema de Registro y Actualización de Roles y Administración de Esquemas de Seguridad (AES) que sea uniforme con las herramientas con que cuentan otras Superintendencias.</w:t>
      </w:r>
      <w:r w:rsidRPr="00930C63">
        <w:rPr>
          <w:rFonts w:ascii="Arial" w:hAnsi="Arial" w:cs="Arial"/>
          <w:color w:val="000000"/>
        </w:rPr>
        <w:t xml:space="preserve"> </w:t>
      </w:r>
    </w:p>
    <w:p w14:paraId="7AA900A1" w14:textId="77777777" w:rsidR="00D44681" w:rsidRDefault="00D44681" w:rsidP="00D44681">
      <w:pPr>
        <w:pStyle w:val="Prrafodelista"/>
        <w:rPr>
          <w:rFonts w:ascii="Arial" w:hAnsi="Arial" w:cs="Arial"/>
          <w:color w:val="000000"/>
        </w:rPr>
      </w:pPr>
    </w:p>
    <w:p w14:paraId="408A093D" w14:textId="77777777" w:rsidR="0072529E" w:rsidRDefault="0072529E" w:rsidP="0072529E">
      <w:pPr>
        <w:pStyle w:val="Numeracin"/>
        <w:spacing w:before="0"/>
        <w:ind w:left="567" w:hanging="567"/>
        <w:rPr>
          <w:rFonts w:ascii="Arial" w:hAnsi="Arial" w:cs="Arial"/>
          <w:color w:val="000000"/>
        </w:rPr>
      </w:pPr>
      <w:r>
        <w:rPr>
          <w:rFonts w:ascii="Arial" w:hAnsi="Arial" w:cs="Arial"/>
          <w:color w:val="000000"/>
        </w:rPr>
        <w:t>El principio de divulgación; completa, oportuna, y precisa de información actual, así como fiable que sea relevante para la toma de decisiones de inversión, está directamente relacionado con los objetivos de protección de los inversionistas y de los mercados justos, eficientes y transparentes emitidos por la IOSCO. Este principio exige considerar la idoneidad, precisión y oportunidad de la información financiera y no financiera, así como la revelación de los riesgos que sean importantes para las decisiones de los inversionistas. De tal forma que la información registrada en el sistema de Roles se constituye en un insumo para el análisis de las entidades que participan en el mercado de valores.</w:t>
      </w:r>
    </w:p>
    <w:p w14:paraId="0A91409B" w14:textId="77777777" w:rsidR="0072529E" w:rsidRDefault="0072529E" w:rsidP="0072529E">
      <w:pPr>
        <w:pStyle w:val="Numeracin"/>
        <w:numPr>
          <w:ilvl w:val="0"/>
          <w:numId w:val="0"/>
        </w:numPr>
        <w:spacing w:before="0"/>
        <w:ind w:left="567"/>
        <w:rPr>
          <w:rFonts w:ascii="Arial" w:hAnsi="Arial" w:cs="Arial"/>
          <w:color w:val="000000" w:themeColor="text1"/>
          <w:lang w:eastAsia="es-CR"/>
        </w:rPr>
      </w:pPr>
    </w:p>
    <w:p w14:paraId="01682CD0" w14:textId="77777777" w:rsidR="0072529E" w:rsidRDefault="0072529E" w:rsidP="0072529E">
      <w:pPr>
        <w:pStyle w:val="Numeracin"/>
        <w:spacing w:before="0"/>
        <w:ind w:left="567" w:hanging="567"/>
        <w:rPr>
          <w:rFonts w:ascii="Arial" w:hAnsi="Arial" w:cs="Arial"/>
          <w:color w:val="000000"/>
        </w:rPr>
      </w:pPr>
      <w:r>
        <w:rPr>
          <w:rFonts w:ascii="Arial" w:hAnsi="Arial" w:cs="Arial"/>
          <w:color w:val="000000"/>
        </w:rPr>
        <w:t xml:space="preserve">Además, la utilización de tecnologías de información permite proteger los datos y las transacciones de forma segura, oportuna y eficiente, a la vez facilita la remisión de </w:t>
      </w:r>
      <w:r>
        <w:rPr>
          <w:rFonts w:ascii="Arial" w:hAnsi="Arial" w:cs="Arial"/>
          <w:color w:val="000000"/>
        </w:rPr>
        <w:lastRenderedPageBreak/>
        <w:t>información de manera periódica, lo cual constituye una herramienta fundamental para las labores de supervisión y control desarrolladas por la Superintendencia.</w:t>
      </w:r>
    </w:p>
    <w:p w14:paraId="148BEB60" w14:textId="77777777" w:rsidR="00D44681" w:rsidRDefault="00D44681" w:rsidP="00D44681">
      <w:pPr>
        <w:pStyle w:val="Prrafodelista"/>
        <w:rPr>
          <w:rFonts w:ascii="Arial" w:hAnsi="Arial" w:cs="Arial"/>
          <w:color w:val="000000"/>
        </w:rPr>
      </w:pPr>
    </w:p>
    <w:p w14:paraId="56D1841D" w14:textId="77777777" w:rsidR="00D44681" w:rsidRPr="00F32280" w:rsidRDefault="00D44681" w:rsidP="00857DD9">
      <w:pPr>
        <w:pStyle w:val="Numeracin"/>
        <w:spacing w:before="0"/>
        <w:ind w:left="567" w:hanging="567"/>
        <w:rPr>
          <w:rFonts w:ascii="Arial" w:hAnsi="Arial" w:cs="Arial"/>
          <w:color w:val="000000" w:themeColor="text1"/>
        </w:rPr>
      </w:pPr>
      <w:r w:rsidRPr="00F32280">
        <w:rPr>
          <w:rFonts w:ascii="Arial" w:hAnsi="Arial" w:cs="Arial"/>
          <w:color w:val="000000" w:themeColor="text1"/>
        </w:rPr>
        <w:t xml:space="preserve">Los </w:t>
      </w:r>
      <w:r w:rsidRPr="00F32280">
        <w:rPr>
          <w:rFonts w:ascii="Arial" w:hAnsi="Arial" w:cs="Arial"/>
          <w:color w:val="000000" w:themeColor="text1"/>
          <w:lang w:eastAsia="es-CR"/>
        </w:rPr>
        <w:t xml:space="preserve">Emisores no Financieros </w:t>
      </w:r>
      <w:r w:rsidR="00857DD9" w:rsidRPr="00F32280">
        <w:rPr>
          <w:rFonts w:ascii="Arial" w:hAnsi="Arial" w:cs="Arial"/>
          <w:color w:val="000000" w:themeColor="text1"/>
          <w:lang w:eastAsia="es-CR"/>
        </w:rPr>
        <w:t>disponen de una supervisión diferenciada, la cual se puede seguir realizando con la información que remiten en la actualidad. E</w:t>
      </w:r>
      <w:r w:rsidR="0006589A" w:rsidRPr="00F32280">
        <w:rPr>
          <w:rFonts w:ascii="Arial" w:hAnsi="Arial" w:cs="Arial"/>
          <w:color w:val="000000" w:themeColor="text1"/>
          <w:lang w:eastAsia="es-CR"/>
        </w:rPr>
        <w:t>l ajuste implica una optimización de la información que ya remiten y les evita duplicar esfuerzos en la atención de los requerimientos.</w:t>
      </w:r>
    </w:p>
    <w:p w14:paraId="3EC62164" w14:textId="77777777" w:rsidR="0006589A" w:rsidRPr="00F32280" w:rsidRDefault="0006589A" w:rsidP="0006589A">
      <w:pPr>
        <w:pStyle w:val="Prrafodelista"/>
        <w:rPr>
          <w:rFonts w:ascii="Arial" w:hAnsi="Arial" w:cs="Arial"/>
          <w:color w:val="000000" w:themeColor="text1"/>
        </w:rPr>
      </w:pPr>
    </w:p>
    <w:p w14:paraId="51FBDB2F" w14:textId="77777777" w:rsidR="0006589A" w:rsidRPr="00F32280" w:rsidRDefault="0006589A" w:rsidP="007A2A8C">
      <w:pPr>
        <w:pStyle w:val="Numeracin"/>
        <w:spacing w:before="0"/>
        <w:ind w:left="567" w:hanging="567"/>
        <w:rPr>
          <w:rFonts w:ascii="Arial" w:hAnsi="Arial" w:cs="Arial"/>
          <w:color w:val="000000" w:themeColor="text1"/>
        </w:rPr>
      </w:pPr>
      <w:r w:rsidRPr="00F32280">
        <w:rPr>
          <w:rFonts w:ascii="Arial" w:hAnsi="Arial" w:cs="Arial"/>
          <w:color w:val="000000" w:themeColor="text1"/>
        </w:rPr>
        <w:t>Por otra parte, la eliminación de la opción de recibir por parte de Sugeval y su traslado a las entidades, homologa la práctica con la que actualmente realizan la Superintendencia de Entidades Financieras (Sugef) y la Superintendencia de Pensiones (Supen), les ahorro el costo que representa la certificación notarial y el apostillado y agiliza el registro y aprobación de los roles.</w:t>
      </w:r>
      <w:r w:rsidR="008A554A" w:rsidRPr="00F32280">
        <w:rPr>
          <w:rFonts w:ascii="Arial" w:hAnsi="Arial" w:cs="Arial"/>
          <w:color w:val="000000" w:themeColor="text1"/>
        </w:rPr>
        <w:t xml:space="preserve"> Además, es</w:t>
      </w:r>
      <w:r w:rsidRPr="00F32280">
        <w:rPr>
          <w:rFonts w:ascii="Arial" w:hAnsi="Arial" w:cs="Arial"/>
          <w:color w:val="000000" w:themeColor="text1"/>
        </w:rPr>
        <w:t xml:space="preserve"> responsabilidad de cada entidad conservar y mantener dicha información actualizada en caso de que alguna superintendencia la solicite para efectos de supervisión. </w:t>
      </w:r>
    </w:p>
    <w:p w14:paraId="46147C74" w14:textId="77777777" w:rsidR="0006589A" w:rsidRPr="008A554A" w:rsidRDefault="0006589A" w:rsidP="0006589A">
      <w:pPr>
        <w:pStyle w:val="Numeracin"/>
        <w:numPr>
          <w:ilvl w:val="0"/>
          <w:numId w:val="0"/>
        </w:numPr>
        <w:spacing w:before="0"/>
        <w:ind w:left="643" w:hanging="360"/>
        <w:rPr>
          <w:rFonts w:ascii="Arial" w:hAnsi="Arial" w:cs="Arial"/>
          <w:color w:val="FF0000"/>
        </w:rPr>
      </w:pPr>
    </w:p>
    <w:p w14:paraId="1AF75AF0" w14:textId="77777777" w:rsidR="00ED1A6D" w:rsidRDefault="00B34206" w:rsidP="009D160E">
      <w:pPr>
        <w:pStyle w:val="Numeracin"/>
        <w:spacing w:before="0"/>
        <w:ind w:left="567" w:hanging="567"/>
        <w:rPr>
          <w:rFonts w:ascii="Arial" w:hAnsi="Arial" w:cs="Arial"/>
          <w:color w:val="000000" w:themeColor="text1"/>
          <w:lang w:eastAsia="es-CR"/>
        </w:rPr>
      </w:pPr>
      <w:r w:rsidRPr="00930C63">
        <w:rPr>
          <w:rFonts w:ascii="Arial" w:hAnsi="Arial" w:cs="Arial"/>
          <w:color w:val="000000" w:themeColor="text1"/>
          <w:lang w:eastAsia="es-CR"/>
        </w:rPr>
        <w:t xml:space="preserve">Como resultado del proceso de revisión continua de los acuerdos emitidos por el Superintendente, se han identificado mejoras a </w:t>
      </w:r>
      <w:r w:rsidR="00930C63" w:rsidRPr="00930C63">
        <w:rPr>
          <w:rFonts w:ascii="Arial" w:hAnsi="Arial" w:cs="Arial"/>
          <w:color w:val="000000" w:themeColor="text1"/>
          <w:lang w:eastAsia="es-CR"/>
        </w:rPr>
        <w:t xml:space="preserve">los </w:t>
      </w:r>
      <w:r w:rsidRPr="00930C63">
        <w:rPr>
          <w:rFonts w:ascii="Arial" w:hAnsi="Arial" w:cs="Arial"/>
          <w:color w:val="000000" w:themeColor="text1"/>
          <w:lang w:eastAsia="es-CR"/>
        </w:rPr>
        <w:t>acuerdos vigentes que son necesarias para mantener la coherencia</w:t>
      </w:r>
      <w:r w:rsidR="00D44681">
        <w:rPr>
          <w:rFonts w:ascii="Arial" w:hAnsi="Arial" w:cs="Arial"/>
          <w:color w:val="000000" w:themeColor="text1"/>
          <w:lang w:eastAsia="es-CR"/>
        </w:rPr>
        <w:t xml:space="preserve">, </w:t>
      </w:r>
      <w:r w:rsidRPr="00930C63">
        <w:rPr>
          <w:rFonts w:ascii="Arial" w:hAnsi="Arial" w:cs="Arial"/>
          <w:color w:val="000000" w:themeColor="text1"/>
          <w:lang w:eastAsia="es-CR"/>
        </w:rPr>
        <w:t>actualización</w:t>
      </w:r>
      <w:r w:rsidR="00D44681">
        <w:rPr>
          <w:rFonts w:ascii="Arial" w:hAnsi="Arial" w:cs="Arial"/>
          <w:color w:val="000000" w:themeColor="text1"/>
          <w:lang w:eastAsia="es-CR"/>
        </w:rPr>
        <w:t xml:space="preserve"> y proporcionalidad</w:t>
      </w:r>
      <w:r w:rsidRPr="00930C63">
        <w:rPr>
          <w:rFonts w:ascii="Arial" w:hAnsi="Arial" w:cs="Arial"/>
          <w:color w:val="000000" w:themeColor="text1"/>
          <w:lang w:eastAsia="es-CR"/>
        </w:rPr>
        <w:t xml:space="preserve"> de las disposiciones que deben acatar l</w:t>
      </w:r>
      <w:r w:rsidR="00D44681">
        <w:rPr>
          <w:rFonts w:ascii="Arial" w:hAnsi="Arial" w:cs="Arial"/>
          <w:color w:val="000000" w:themeColor="text1"/>
          <w:lang w:eastAsia="es-CR"/>
        </w:rPr>
        <w:t xml:space="preserve">os emisores no financiero. </w:t>
      </w:r>
      <w:r w:rsidR="00930C63" w:rsidRPr="00930C63">
        <w:rPr>
          <w:rFonts w:ascii="Arial" w:hAnsi="Arial" w:cs="Arial"/>
          <w:color w:val="000000" w:themeColor="text1"/>
          <w:lang w:eastAsia="es-CR"/>
        </w:rPr>
        <w:t>P</w:t>
      </w:r>
      <w:r w:rsidRPr="00930C63">
        <w:rPr>
          <w:rFonts w:ascii="Arial" w:hAnsi="Arial" w:cs="Arial"/>
          <w:color w:val="000000" w:themeColor="text1"/>
          <w:lang w:eastAsia="es-CR"/>
        </w:rPr>
        <w:t xml:space="preserve">or lo </w:t>
      </w:r>
      <w:r w:rsidR="00930C63" w:rsidRPr="00930C63">
        <w:rPr>
          <w:rFonts w:ascii="Arial" w:hAnsi="Arial" w:cs="Arial"/>
          <w:color w:val="000000" w:themeColor="text1"/>
          <w:lang w:eastAsia="es-CR"/>
        </w:rPr>
        <w:t xml:space="preserve">anterior </w:t>
      </w:r>
      <w:r w:rsidRPr="00930C63">
        <w:rPr>
          <w:rFonts w:ascii="Arial" w:hAnsi="Arial" w:cs="Arial"/>
          <w:color w:val="000000" w:themeColor="text1"/>
          <w:lang w:eastAsia="es-CR"/>
        </w:rPr>
        <w:t xml:space="preserve">se hace necesario proponer la actualización de disposiciones específicas en </w:t>
      </w:r>
      <w:r w:rsidR="00715E8B">
        <w:rPr>
          <w:rFonts w:ascii="Arial" w:hAnsi="Arial" w:cs="Arial"/>
          <w:color w:val="000000" w:themeColor="text1"/>
          <w:lang w:eastAsia="es-CR"/>
        </w:rPr>
        <w:t>el acuerdo</w:t>
      </w:r>
      <w:r w:rsidR="00930C63" w:rsidRPr="00930C63">
        <w:rPr>
          <w:rFonts w:ascii="Arial" w:hAnsi="Arial" w:cs="Arial"/>
        </w:rPr>
        <w:t xml:space="preserve"> S</w:t>
      </w:r>
      <w:r w:rsidRPr="00930C63">
        <w:rPr>
          <w:rFonts w:ascii="Arial" w:hAnsi="Arial" w:cs="Arial"/>
          <w:color w:val="000000" w:themeColor="text1"/>
          <w:lang w:eastAsia="es-CR"/>
        </w:rPr>
        <w:t>GV-A-257. Información Básica de las Entidades Reguladas y Supervisadas por la Superintendencia General de Valores.</w:t>
      </w:r>
      <w:r w:rsidR="00ED1A6D" w:rsidRPr="00930C63">
        <w:rPr>
          <w:rFonts w:ascii="Arial" w:hAnsi="Arial" w:cs="Arial"/>
          <w:color w:val="000000" w:themeColor="text1"/>
          <w:lang w:eastAsia="es-CR"/>
        </w:rPr>
        <w:t xml:space="preserve"> </w:t>
      </w:r>
    </w:p>
    <w:p w14:paraId="1E687923" w14:textId="77777777" w:rsidR="00ED4EC0" w:rsidRDefault="00ED4EC0" w:rsidP="00ED4EC0">
      <w:pPr>
        <w:pStyle w:val="Prrafodelista"/>
        <w:rPr>
          <w:rFonts w:ascii="Arial" w:hAnsi="Arial" w:cs="Arial"/>
          <w:color w:val="000000" w:themeColor="text1"/>
          <w:lang w:eastAsia="es-CR"/>
        </w:rPr>
      </w:pPr>
    </w:p>
    <w:p w14:paraId="28FC064A" w14:textId="77777777" w:rsidR="00ED4EC0" w:rsidRPr="00F32280" w:rsidRDefault="00ED4EC0" w:rsidP="008D3A96">
      <w:pPr>
        <w:pStyle w:val="Numeracin"/>
        <w:spacing w:before="0"/>
        <w:ind w:left="567" w:hanging="567"/>
        <w:rPr>
          <w:rFonts w:ascii="Arial" w:hAnsi="Arial" w:cs="Arial"/>
          <w:color w:val="000000" w:themeColor="text1"/>
          <w:lang w:eastAsia="es-CR"/>
        </w:rPr>
      </w:pPr>
      <w:r w:rsidRPr="00F32280">
        <w:rPr>
          <w:rFonts w:ascii="Arial" w:hAnsi="Arial" w:cs="Arial"/>
          <w:color w:val="000000" w:themeColor="text1"/>
          <w:lang w:eastAsia="es-CR"/>
        </w:rPr>
        <w:t xml:space="preserve">Valoradas los anteriores considerandos, se prescinde de la consulta pública por tratarse de un acto que </w:t>
      </w:r>
      <w:r w:rsidR="0083442C" w:rsidRPr="00F32280">
        <w:rPr>
          <w:rFonts w:ascii="Arial" w:hAnsi="Arial" w:cs="Arial"/>
          <w:color w:val="000000" w:themeColor="text1"/>
          <w:lang w:eastAsia="es-CR"/>
        </w:rPr>
        <w:t>simplifica la carga de información</w:t>
      </w:r>
      <w:r w:rsidRPr="00F32280">
        <w:rPr>
          <w:rFonts w:ascii="Arial" w:hAnsi="Arial" w:cs="Arial"/>
          <w:color w:val="000000" w:themeColor="text1"/>
          <w:lang w:eastAsia="es-CR"/>
        </w:rPr>
        <w:t>, sin que implique la generación de nuevas obligaciones, sino que busca el cumplimiento del interés público de la institución, ello según lo dispuesto en el artículo 361 inciso 2 de la Ley General de la Administración Pública.</w:t>
      </w:r>
    </w:p>
    <w:p w14:paraId="6789FECD" w14:textId="77777777" w:rsidR="004A0B0C" w:rsidRPr="00771052" w:rsidRDefault="004A0B0C" w:rsidP="00126E34">
      <w:pPr>
        <w:widowControl w:val="0"/>
        <w:tabs>
          <w:tab w:val="left" w:pos="567"/>
        </w:tabs>
        <w:spacing w:before="240" w:after="240"/>
        <w:jc w:val="both"/>
        <w:rPr>
          <w:rFonts w:ascii="Arial" w:hAnsi="Arial" w:cs="Arial"/>
          <w:bCs/>
          <w:szCs w:val="22"/>
        </w:rPr>
      </w:pPr>
      <w:r w:rsidRPr="00771052">
        <w:rPr>
          <w:rFonts w:ascii="Arial" w:hAnsi="Arial" w:cs="Arial"/>
          <w:bCs/>
          <w:szCs w:val="22"/>
        </w:rPr>
        <w:t>Por tanto</w:t>
      </w:r>
      <w:r w:rsidR="008D57BF" w:rsidRPr="00771052">
        <w:rPr>
          <w:rFonts w:ascii="Arial" w:hAnsi="Arial" w:cs="Arial"/>
          <w:bCs/>
          <w:szCs w:val="22"/>
        </w:rPr>
        <w:t xml:space="preserve">, </w:t>
      </w:r>
      <w:r w:rsidRPr="00771052">
        <w:rPr>
          <w:rFonts w:ascii="Arial" w:hAnsi="Arial" w:cs="Arial"/>
          <w:bCs/>
          <w:szCs w:val="22"/>
        </w:rPr>
        <w:t>dispone el presente acuerdo:</w:t>
      </w:r>
    </w:p>
    <w:p w14:paraId="3400E7F9" w14:textId="6080794D" w:rsidR="00E34FB9" w:rsidRDefault="00CD6479" w:rsidP="00CD6479">
      <w:pPr>
        <w:tabs>
          <w:tab w:val="left" w:pos="8910"/>
        </w:tabs>
        <w:spacing w:before="240" w:after="240"/>
        <w:jc w:val="center"/>
        <w:rPr>
          <w:rFonts w:ascii="Arial" w:hAnsi="Arial" w:cs="Arial"/>
          <w:b/>
          <w:color w:val="000000" w:themeColor="text1"/>
          <w:szCs w:val="22"/>
        </w:rPr>
      </w:pPr>
      <w:bookmarkStart w:id="0" w:name="_Hlk126748299"/>
      <w:r w:rsidRPr="008D57BF">
        <w:rPr>
          <w:rFonts w:ascii="Arial" w:hAnsi="Arial" w:cs="Arial"/>
          <w:b/>
          <w:szCs w:val="22"/>
        </w:rPr>
        <w:t>APROBAR EL ACUERDO SGV-A-</w:t>
      </w:r>
      <w:r w:rsidR="00E436CA">
        <w:rPr>
          <w:rFonts w:ascii="Arial" w:hAnsi="Arial" w:cs="Arial"/>
          <w:b/>
          <w:szCs w:val="22"/>
        </w:rPr>
        <w:t>279</w:t>
      </w:r>
      <w:r w:rsidRPr="008D57BF">
        <w:rPr>
          <w:rFonts w:ascii="Arial" w:hAnsi="Arial" w:cs="Arial"/>
          <w:b/>
          <w:szCs w:val="22"/>
        </w:rPr>
        <w:t xml:space="preserve">.  MODIFICACIÓN AL ACUERDO </w:t>
      </w:r>
      <w:r w:rsidR="00E34FB9" w:rsidRPr="00CD6479">
        <w:rPr>
          <w:rFonts w:ascii="Arial" w:hAnsi="Arial" w:cs="Arial"/>
          <w:b/>
          <w:color w:val="000000" w:themeColor="text1"/>
          <w:szCs w:val="22"/>
        </w:rPr>
        <w:t xml:space="preserve">SGV-A-257. </w:t>
      </w:r>
      <w:r w:rsidR="00E34FB9" w:rsidRPr="00E34FB9">
        <w:rPr>
          <w:rFonts w:ascii="Arial" w:hAnsi="Arial" w:cs="Arial"/>
          <w:b/>
          <w:color w:val="000000" w:themeColor="text1"/>
          <w:szCs w:val="22"/>
        </w:rPr>
        <w:t>“SGV-A-257. INFORMACIÓN BÁSICA DE LAS ENTIDADES REGULADAS Y</w:t>
      </w:r>
      <w:r w:rsidR="00E34FB9">
        <w:rPr>
          <w:rFonts w:ascii="Arial" w:hAnsi="Arial" w:cs="Arial"/>
          <w:b/>
          <w:color w:val="000000" w:themeColor="text1"/>
          <w:szCs w:val="22"/>
        </w:rPr>
        <w:t xml:space="preserve"> </w:t>
      </w:r>
      <w:r w:rsidR="00E34FB9" w:rsidRPr="00E34FB9">
        <w:rPr>
          <w:rFonts w:ascii="Arial" w:hAnsi="Arial" w:cs="Arial"/>
          <w:b/>
          <w:color w:val="000000" w:themeColor="text1"/>
          <w:szCs w:val="22"/>
        </w:rPr>
        <w:t xml:space="preserve">  SUPERVISADAS POR LA SUPERINTENDENCIA GENERAL DE VALORES”</w:t>
      </w:r>
    </w:p>
    <w:p w14:paraId="3BBA5B82" w14:textId="77777777" w:rsidR="001A0AE2" w:rsidRDefault="001A0AE2" w:rsidP="00CD6479">
      <w:pPr>
        <w:tabs>
          <w:tab w:val="left" w:pos="8910"/>
        </w:tabs>
        <w:spacing w:before="240" w:after="240"/>
        <w:jc w:val="center"/>
        <w:rPr>
          <w:rFonts w:ascii="Arial" w:hAnsi="Arial" w:cs="Arial"/>
          <w:b/>
          <w:color w:val="000000" w:themeColor="text1"/>
          <w:szCs w:val="22"/>
        </w:rPr>
      </w:pPr>
    </w:p>
    <w:p w14:paraId="21D00BB5" w14:textId="77777777" w:rsidR="004E671C" w:rsidRPr="00CD6479" w:rsidRDefault="004E671C" w:rsidP="004E671C">
      <w:pPr>
        <w:pStyle w:val="Textoindependiente3"/>
        <w:spacing w:after="0"/>
        <w:jc w:val="both"/>
        <w:rPr>
          <w:rFonts w:ascii="Arial" w:hAnsi="Arial" w:cs="Arial"/>
          <w:b/>
          <w:color w:val="000000" w:themeColor="text1"/>
          <w:sz w:val="22"/>
          <w:szCs w:val="22"/>
        </w:rPr>
      </w:pPr>
      <w:r w:rsidRPr="0072529E">
        <w:rPr>
          <w:rFonts w:ascii="Arial" w:hAnsi="Arial" w:cs="Arial"/>
          <w:b/>
          <w:color w:val="000000" w:themeColor="text1"/>
          <w:sz w:val="22"/>
          <w:szCs w:val="22"/>
        </w:rPr>
        <w:t xml:space="preserve">Artículo </w:t>
      </w:r>
      <w:r w:rsidR="00E34FB9" w:rsidRPr="0072529E">
        <w:rPr>
          <w:rFonts w:ascii="Arial" w:hAnsi="Arial" w:cs="Arial"/>
          <w:b/>
          <w:color w:val="000000" w:themeColor="text1"/>
          <w:sz w:val="22"/>
          <w:szCs w:val="22"/>
        </w:rPr>
        <w:t>1</w:t>
      </w:r>
      <w:r w:rsidRPr="0072529E">
        <w:rPr>
          <w:rFonts w:ascii="Arial" w:hAnsi="Arial" w:cs="Arial"/>
          <w:b/>
          <w:color w:val="000000" w:themeColor="text1"/>
          <w:sz w:val="22"/>
          <w:szCs w:val="22"/>
        </w:rPr>
        <w:t xml:space="preserve">. Reforma al artículo </w:t>
      </w:r>
      <w:r w:rsidR="0072529E" w:rsidRPr="0072529E">
        <w:rPr>
          <w:rFonts w:ascii="Arial" w:hAnsi="Arial" w:cs="Arial"/>
          <w:b/>
          <w:color w:val="000000" w:themeColor="text1"/>
          <w:sz w:val="22"/>
          <w:szCs w:val="22"/>
        </w:rPr>
        <w:t>1</w:t>
      </w:r>
      <w:r w:rsidRPr="0072529E">
        <w:rPr>
          <w:rFonts w:ascii="Arial" w:hAnsi="Arial" w:cs="Arial"/>
          <w:b/>
          <w:color w:val="000000" w:themeColor="text1"/>
          <w:sz w:val="22"/>
          <w:szCs w:val="22"/>
        </w:rPr>
        <w:t xml:space="preserve"> </w:t>
      </w:r>
      <w:r w:rsidR="0072529E">
        <w:rPr>
          <w:rFonts w:ascii="Arial" w:hAnsi="Arial" w:cs="Arial"/>
          <w:b/>
          <w:color w:val="000000" w:themeColor="text1"/>
          <w:sz w:val="22"/>
          <w:szCs w:val="22"/>
        </w:rPr>
        <w:t>para incluir una excepción al registro en Roles de los Emisores de valores no financieros.</w:t>
      </w:r>
    </w:p>
    <w:p w14:paraId="455DE6D6" w14:textId="77777777" w:rsidR="004E671C" w:rsidRPr="00CD6479" w:rsidRDefault="004E671C" w:rsidP="004E671C">
      <w:pPr>
        <w:pStyle w:val="Prrafodelista"/>
        <w:spacing w:after="160" w:line="259" w:lineRule="auto"/>
        <w:ind w:left="1211"/>
        <w:contextualSpacing/>
        <w:jc w:val="both"/>
        <w:rPr>
          <w:rFonts w:cs="Arial"/>
          <w:color w:val="000000" w:themeColor="text1"/>
          <w:lang w:val="es-ES"/>
        </w:rPr>
      </w:pPr>
    </w:p>
    <w:p w14:paraId="3E6D6F8B" w14:textId="77777777" w:rsidR="00474FC2" w:rsidRPr="00A428E5" w:rsidRDefault="00474FC2" w:rsidP="00611862">
      <w:pPr>
        <w:widowControl w:val="0"/>
        <w:numPr>
          <w:ilvl w:val="0"/>
          <w:numId w:val="6"/>
        </w:numPr>
        <w:autoSpaceDE w:val="0"/>
        <w:autoSpaceDN w:val="0"/>
        <w:spacing w:line="252" w:lineRule="auto"/>
        <w:ind w:left="1530" w:hanging="1530"/>
        <w:contextualSpacing/>
        <w:jc w:val="both"/>
        <w:outlineLvl w:val="1"/>
        <w:rPr>
          <w:rFonts w:ascii="Arial" w:eastAsia="Cambria" w:hAnsi="Arial" w:cs="Arial"/>
          <w:b/>
          <w:bCs/>
          <w:color w:val="000000" w:themeColor="text1"/>
          <w:szCs w:val="22"/>
          <w:lang w:eastAsia="en-US"/>
        </w:rPr>
      </w:pPr>
      <w:bookmarkStart w:id="1" w:name="_Hlk63939427"/>
      <w:r w:rsidRPr="00A428E5">
        <w:rPr>
          <w:rFonts w:ascii="Arial" w:eastAsia="Cambria" w:hAnsi="Arial" w:cs="Arial"/>
          <w:b/>
          <w:bCs/>
          <w:color w:val="000000" w:themeColor="text1"/>
        </w:rPr>
        <w:t>Alcance</w:t>
      </w:r>
    </w:p>
    <w:bookmarkEnd w:id="1"/>
    <w:p w14:paraId="075CEC22" w14:textId="77777777" w:rsidR="00E14E20" w:rsidRDefault="00E14E20" w:rsidP="00D221CB">
      <w:pPr>
        <w:widowControl w:val="0"/>
        <w:autoSpaceDE w:val="0"/>
        <w:autoSpaceDN w:val="0"/>
        <w:spacing w:before="120" w:after="120" w:line="252" w:lineRule="auto"/>
        <w:jc w:val="both"/>
        <w:rPr>
          <w:rFonts w:ascii="Arial" w:eastAsia="Cambria" w:hAnsi="Arial" w:cs="Arial"/>
          <w:color w:val="000000" w:themeColor="text1"/>
        </w:rPr>
      </w:pPr>
      <w:r>
        <w:rPr>
          <w:rFonts w:ascii="Arial" w:eastAsia="Cambria" w:hAnsi="Arial" w:cs="Arial"/>
          <w:color w:val="000000" w:themeColor="text1"/>
        </w:rPr>
        <w:t>Se incluye en el artículo 1 la siguiente excepción.</w:t>
      </w:r>
    </w:p>
    <w:p w14:paraId="12DB9684" w14:textId="77777777" w:rsidR="00E14E20" w:rsidRDefault="00E14E20" w:rsidP="00D221CB">
      <w:pPr>
        <w:widowControl w:val="0"/>
        <w:autoSpaceDE w:val="0"/>
        <w:autoSpaceDN w:val="0"/>
        <w:spacing w:before="120" w:after="120" w:line="252" w:lineRule="auto"/>
        <w:jc w:val="both"/>
        <w:rPr>
          <w:rFonts w:ascii="Arial" w:eastAsia="Cambria" w:hAnsi="Arial" w:cs="Arial"/>
          <w:color w:val="000000" w:themeColor="text1"/>
        </w:rPr>
      </w:pPr>
      <w:r>
        <w:rPr>
          <w:rFonts w:ascii="Arial" w:eastAsia="Cambria" w:hAnsi="Arial" w:cs="Arial"/>
          <w:color w:val="000000" w:themeColor="text1"/>
        </w:rPr>
        <w:t>(…)</w:t>
      </w:r>
    </w:p>
    <w:p w14:paraId="0D2A0858" w14:textId="77777777" w:rsidR="00D221CB" w:rsidRPr="00E14E20" w:rsidRDefault="00E14E20" w:rsidP="00D221CB">
      <w:pPr>
        <w:widowControl w:val="0"/>
        <w:autoSpaceDE w:val="0"/>
        <w:autoSpaceDN w:val="0"/>
        <w:spacing w:before="120" w:after="120" w:line="252" w:lineRule="auto"/>
        <w:jc w:val="both"/>
        <w:rPr>
          <w:rFonts w:ascii="Arial" w:eastAsia="Cambria" w:hAnsi="Arial" w:cs="Arial"/>
          <w:i/>
          <w:iCs/>
          <w:color w:val="000000" w:themeColor="text1"/>
        </w:rPr>
      </w:pPr>
      <w:r w:rsidRPr="00E14E20">
        <w:rPr>
          <w:rFonts w:ascii="Arial" w:eastAsia="Cambria" w:hAnsi="Arial" w:cs="Arial"/>
          <w:i/>
          <w:iCs/>
          <w:color w:val="000000" w:themeColor="text1"/>
        </w:rPr>
        <w:t>“</w:t>
      </w:r>
      <w:r w:rsidR="00D221CB" w:rsidRPr="00E14E20">
        <w:rPr>
          <w:rFonts w:ascii="Arial" w:eastAsia="Cambria" w:hAnsi="Arial" w:cs="Arial"/>
          <w:i/>
          <w:iCs/>
          <w:color w:val="000000" w:themeColor="text1"/>
        </w:rPr>
        <w:t>Para el caso de los Emisores de valores no financieros se exceptúan del cumplimiento de lo dispuesto en el artículo 6 sobre las declaraciones. Por cuanto dicha información ya puede ser obtenida en el prospecto de la emisión</w:t>
      </w:r>
      <w:r>
        <w:rPr>
          <w:rFonts w:ascii="Arial" w:eastAsia="Cambria" w:hAnsi="Arial" w:cs="Arial"/>
          <w:i/>
          <w:iCs/>
          <w:color w:val="000000" w:themeColor="text1"/>
        </w:rPr>
        <w:t>”</w:t>
      </w:r>
      <w:r w:rsidR="00D221CB" w:rsidRPr="00E14E20">
        <w:rPr>
          <w:rFonts w:ascii="Arial" w:eastAsia="Cambria" w:hAnsi="Arial" w:cs="Arial"/>
          <w:i/>
          <w:iCs/>
          <w:color w:val="000000" w:themeColor="text1"/>
        </w:rPr>
        <w:t>.</w:t>
      </w:r>
    </w:p>
    <w:p w14:paraId="208EC8E6" w14:textId="612C3945" w:rsidR="00D221CB" w:rsidRDefault="00D221CB" w:rsidP="00D221CB">
      <w:pPr>
        <w:widowControl w:val="0"/>
        <w:autoSpaceDE w:val="0"/>
        <w:autoSpaceDN w:val="0"/>
        <w:spacing w:before="120" w:after="120" w:line="252" w:lineRule="auto"/>
        <w:jc w:val="both"/>
        <w:rPr>
          <w:rFonts w:ascii="Arial" w:eastAsia="Cambria" w:hAnsi="Arial" w:cs="Arial"/>
          <w:color w:val="FF0000"/>
        </w:rPr>
      </w:pPr>
    </w:p>
    <w:p w14:paraId="789E005A" w14:textId="77777777" w:rsidR="001A0AE2" w:rsidRDefault="001A0AE2" w:rsidP="00D221CB">
      <w:pPr>
        <w:widowControl w:val="0"/>
        <w:autoSpaceDE w:val="0"/>
        <w:autoSpaceDN w:val="0"/>
        <w:spacing w:before="120" w:after="120" w:line="252" w:lineRule="auto"/>
        <w:jc w:val="both"/>
        <w:rPr>
          <w:rFonts w:ascii="Arial" w:eastAsia="Cambria" w:hAnsi="Arial" w:cs="Arial"/>
          <w:color w:val="FF0000"/>
        </w:rPr>
      </w:pPr>
    </w:p>
    <w:p w14:paraId="23CCBC41" w14:textId="1F7618B6" w:rsidR="001A0AE2" w:rsidRDefault="00D221CB" w:rsidP="00D221CB">
      <w:pPr>
        <w:widowControl w:val="0"/>
        <w:autoSpaceDE w:val="0"/>
        <w:autoSpaceDN w:val="0"/>
        <w:spacing w:before="120" w:after="120" w:line="252" w:lineRule="auto"/>
        <w:jc w:val="both"/>
        <w:rPr>
          <w:rFonts w:ascii="Arial" w:hAnsi="Arial" w:cs="Arial"/>
          <w:b/>
          <w:color w:val="000000" w:themeColor="text1"/>
          <w:szCs w:val="22"/>
        </w:rPr>
      </w:pPr>
      <w:r w:rsidRPr="00D221CB">
        <w:rPr>
          <w:rFonts w:ascii="Arial" w:hAnsi="Arial" w:cs="Arial"/>
          <w:b/>
          <w:color w:val="000000" w:themeColor="text1"/>
          <w:szCs w:val="22"/>
        </w:rPr>
        <w:t xml:space="preserve">Artículo 2. </w:t>
      </w:r>
      <w:r>
        <w:rPr>
          <w:rFonts w:ascii="Arial" w:hAnsi="Arial" w:cs="Arial"/>
          <w:b/>
          <w:color w:val="000000" w:themeColor="text1"/>
          <w:szCs w:val="22"/>
        </w:rPr>
        <w:t xml:space="preserve"> Modificación al artículo 6 sobre las declaraciones.</w:t>
      </w:r>
    </w:p>
    <w:p w14:paraId="109EB63E" w14:textId="77777777" w:rsidR="001A0AE2" w:rsidRDefault="001A0AE2" w:rsidP="00D221CB">
      <w:pPr>
        <w:widowControl w:val="0"/>
        <w:autoSpaceDE w:val="0"/>
        <w:autoSpaceDN w:val="0"/>
        <w:spacing w:before="120" w:after="120" w:line="252" w:lineRule="auto"/>
        <w:jc w:val="both"/>
        <w:rPr>
          <w:rFonts w:ascii="Arial" w:hAnsi="Arial" w:cs="Arial"/>
          <w:b/>
          <w:color w:val="000000" w:themeColor="text1"/>
          <w:szCs w:val="22"/>
        </w:rPr>
      </w:pPr>
    </w:p>
    <w:p w14:paraId="30D9631A" w14:textId="77777777" w:rsidR="00D221CB" w:rsidRPr="00E14E20" w:rsidRDefault="00D221CB" w:rsidP="00D221CB">
      <w:pPr>
        <w:widowControl w:val="0"/>
        <w:autoSpaceDE w:val="0"/>
        <w:autoSpaceDN w:val="0"/>
        <w:spacing w:before="120" w:after="120" w:line="252" w:lineRule="auto"/>
        <w:jc w:val="both"/>
        <w:rPr>
          <w:rFonts w:ascii="Arial" w:eastAsia="Cambria" w:hAnsi="Arial" w:cs="Arial"/>
          <w:color w:val="000000" w:themeColor="text1"/>
        </w:rPr>
      </w:pPr>
      <w:r w:rsidRPr="00E14E20">
        <w:rPr>
          <w:rFonts w:ascii="Arial" w:eastAsia="Cambria" w:hAnsi="Arial" w:cs="Arial"/>
          <w:color w:val="000000" w:themeColor="text1"/>
        </w:rPr>
        <w:t xml:space="preserve">Se modifica el artículo 6 del acuerdo SGV-A-257. Información Básica de las Entidades Reguladas y Supervisadas por la Superintendencia General de Valores de acuerdo con lo siguiente: </w:t>
      </w:r>
    </w:p>
    <w:p w14:paraId="1EBB9DEF" w14:textId="77777777" w:rsidR="00D221CB" w:rsidRPr="00E14E20" w:rsidRDefault="00D221CB" w:rsidP="00D221CB">
      <w:pPr>
        <w:pStyle w:val="Prrafodelista"/>
        <w:widowControl w:val="0"/>
        <w:numPr>
          <w:ilvl w:val="0"/>
          <w:numId w:val="18"/>
        </w:numPr>
        <w:autoSpaceDE w:val="0"/>
        <w:autoSpaceDN w:val="0"/>
        <w:spacing w:before="120" w:after="120" w:line="252" w:lineRule="auto"/>
        <w:jc w:val="both"/>
        <w:rPr>
          <w:rFonts w:ascii="Arial" w:eastAsia="Cambria" w:hAnsi="Arial" w:cs="Arial"/>
          <w:color w:val="000000" w:themeColor="text1"/>
        </w:rPr>
      </w:pPr>
      <w:r w:rsidRPr="00E14E20">
        <w:rPr>
          <w:rFonts w:ascii="Arial" w:eastAsia="Cambria" w:hAnsi="Arial" w:cs="Arial"/>
          <w:color w:val="000000" w:themeColor="text1"/>
        </w:rPr>
        <w:t xml:space="preserve">Eliminar la remisión de la </w:t>
      </w:r>
      <w:r w:rsidR="00E14E20" w:rsidRPr="00E14E20">
        <w:rPr>
          <w:rFonts w:ascii="Arial" w:hAnsi="Arial" w:cs="Arial"/>
          <w:color w:val="000000" w:themeColor="text1"/>
          <w:szCs w:val="22"/>
        </w:rPr>
        <w:t>documentación certificada notarialmente o apostillada relacionada con las declaraciones de personas no residentes que no posean firma digital emitida en Costa Rica.</w:t>
      </w:r>
    </w:p>
    <w:p w14:paraId="1EA6AA3A" w14:textId="77777777" w:rsidR="00D221CB" w:rsidRPr="00E14E20" w:rsidRDefault="00D221CB" w:rsidP="00D221CB">
      <w:pPr>
        <w:widowControl w:val="0"/>
        <w:autoSpaceDE w:val="0"/>
        <w:autoSpaceDN w:val="0"/>
        <w:spacing w:before="120" w:after="120" w:line="252" w:lineRule="auto"/>
        <w:jc w:val="both"/>
        <w:rPr>
          <w:rFonts w:ascii="Arial" w:eastAsia="Cambria" w:hAnsi="Arial" w:cs="Arial"/>
          <w:color w:val="000000" w:themeColor="text1"/>
        </w:rPr>
      </w:pPr>
      <w:r w:rsidRPr="00E14E20">
        <w:rPr>
          <w:rFonts w:ascii="Arial" w:eastAsia="Cambria" w:hAnsi="Arial" w:cs="Arial"/>
          <w:color w:val="000000" w:themeColor="text1"/>
        </w:rPr>
        <w:t>De manera que el cuadro se lea</w:t>
      </w:r>
      <w:r w:rsidR="00E14E20" w:rsidRPr="00E14E20">
        <w:rPr>
          <w:rFonts w:ascii="Arial" w:eastAsia="Cambria" w:hAnsi="Arial" w:cs="Arial"/>
          <w:color w:val="000000" w:themeColor="text1"/>
        </w:rPr>
        <w:t xml:space="preserve"> el artículo </w:t>
      </w:r>
      <w:r w:rsidRPr="00E14E20">
        <w:rPr>
          <w:rFonts w:ascii="Arial" w:eastAsia="Cambria" w:hAnsi="Arial" w:cs="Arial"/>
          <w:color w:val="000000" w:themeColor="text1"/>
        </w:rPr>
        <w:t>de la siguiente manera:</w:t>
      </w:r>
    </w:p>
    <w:p w14:paraId="7ADD22B9" w14:textId="4DD3A9AA" w:rsidR="00D221CB" w:rsidRPr="00E14E20" w:rsidRDefault="00E14E20" w:rsidP="00E14E20">
      <w:pPr>
        <w:pStyle w:val="Textoindependiente"/>
        <w:keepLines/>
        <w:spacing w:before="120" w:line="252" w:lineRule="auto"/>
        <w:ind w:right="144"/>
        <w:jc w:val="both"/>
        <w:rPr>
          <w:rFonts w:ascii="Arial" w:hAnsi="Arial" w:cs="Arial"/>
          <w:i/>
          <w:iCs/>
          <w:szCs w:val="22"/>
        </w:rPr>
      </w:pPr>
      <w:r>
        <w:rPr>
          <w:rFonts w:ascii="Arial" w:hAnsi="Arial" w:cs="Arial"/>
          <w:i/>
          <w:iCs/>
          <w:szCs w:val="22"/>
        </w:rPr>
        <w:t>“</w:t>
      </w:r>
      <w:r w:rsidRPr="00E14E20">
        <w:rPr>
          <w:rFonts w:ascii="Arial" w:hAnsi="Arial" w:cs="Arial"/>
          <w:b/>
          <w:bCs/>
          <w:i/>
          <w:iCs/>
          <w:szCs w:val="22"/>
        </w:rPr>
        <w:t>Artículo 6.</w:t>
      </w:r>
      <w:r w:rsidRPr="00E14E20">
        <w:rPr>
          <w:rFonts w:ascii="Arial" w:hAnsi="Arial" w:cs="Arial"/>
          <w:i/>
          <w:iCs/>
          <w:szCs w:val="22"/>
        </w:rPr>
        <w:t xml:space="preserve"> </w:t>
      </w:r>
      <w:r w:rsidR="00D221CB" w:rsidRPr="00E14E20">
        <w:rPr>
          <w:rFonts w:ascii="Arial" w:hAnsi="Arial" w:cs="Arial"/>
          <w:i/>
          <w:iCs/>
          <w:szCs w:val="22"/>
        </w:rPr>
        <w:t xml:space="preserve">Declaraciones </w:t>
      </w:r>
    </w:p>
    <w:p w14:paraId="108A0121" w14:textId="77777777" w:rsidR="00D221CB" w:rsidRPr="00E14E20" w:rsidRDefault="00D221CB" w:rsidP="00D221CB">
      <w:pPr>
        <w:pStyle w:val="Textoindependiente"/>
        <w:keepLines/>
        <w:spacing w:before="120" w:line="252" w:lineRule="auto"/>
        <w:ind w:right="144"/>
        <w:jc w:val="both"/>
        <w:rPr>
          <w:rFonts w:ascii="Arial" w:hAnsi="Arial" w:cs="Arial"/>
          <w:i/>
          <w:iCs/>
          <w:szCs w:val="22"/>
        </w:rPr>
      </w:pPr>
      <w:r w:rsidRPr="00E14E20">
        <w:rPr>
          <w:rFonts w:ascii="Arial" w:hAnsi="Arial" w:cs="Arial"/>
          <w:i/>
          <w:iCs/>
          <w:szCs w:val="22"/>
        </w:rPr>
        <w:t xml:space="preserve">Algunos de los roles ingresados al sistema deberán completar información de los aspectos que se detallan a continuación: </w:t>
      </w:r>
    </w:p>
    <w:p w14:paraId="195A1473" w14:textId="77777777" w:rsidR="00D221CB" w:rsidRPr="00E14E20" w:rsidRDefault="00D221CB" w:rsidP="00D221CB">
      <w:pPr>
        <w:pStyle w:val="Textoindependiente"/>
        <w:keepLines/>
        <w:widowControl w:val="0"/>
        <w:numPr>
          <w:ilvl w:val="0"/>
          <w:numId w:val="14"/>
        </w:numPr>
        <w:autoSpaceDE w:val="0"/>
        <w:autoSpaceDN w:val="0"/>
        <w:spacing w:before="120" w:line="252" w:lineRule="auto"/>
        <w:ind w:right="144"/>
        <w:jc w:val="both"/>
        <w:rPr>
          <w:rFonts w:ascii="Arial" w:hAnsi="Arial" w:cs="Arial"/>
          <w:i/>
          <w:iCs/>
          <w:szCs w:val="22"/>
        </w:rPr>
      </w:pPr>
      <w:r w:rsidRPr="00E14E20">
        <w:rPr>
          <w:rFonts w:ascii="Arial" w:hAnsi="Arial" w:cs="Arial"/>
          <w:b/>
          <w:bCs/>
          <w:i/>
          <w:iCs/>
          <w:szCs w:val="22"/>
        </w:rPr>
        <w:t>Formación académica</w:t>
      </w:r>
      <w:r w:rsidRPr="00E14E20">
        <w:rPr>
          <w:rFonts w:ascii="Arial" w:hAnsi="Arial" w:cs="Arial"/>
          <w:i/>
          <w:iCs/>
          <w:szCs w:val="22"/>
        </w:rPr>
        <w:t>: Se relaciona con aspectos generales de los títulos académicos obtenidos por el Rol respectivo.</w:t>
      </w:r>
    </w:p>
    <w:p w14:paraId="2FCF41DE" w14:textId="77777777" w:rsidR="00D221CB" w:rsidRPr="00E14E20" w:rsidRDefault="00D221CB" w:rsidP="00D221CB">
      <w:pPr>
        <w:pStyle w:val="Textoindependiente"/>
        <w:keepLines/>
        <w:widowControl w:val="0"/>
        <w:numPr>
          <w:ilvl w:val="0"/>
          <w:numId w:val="14"/>
        </w:numPr>
        <w:autoSpaceDE w:val="0"/>
        <w:autoSpaceDN w:val="0"/>
        <w:spacing w:before="120" w:line="252" w:lineRule="auto"/>
        <w:ind w:right="144"/>
        <w:jc w:val="both"/>
        <w:rPr>
          <w:rFonts w:ascii="Arial" w:hAnsi="Arial" w:cs="Arial"/>
          <w:i/>
          <w:iCs/>
          <w:szCs w:val="22"/>
        </w:rPr>
      </w:pPr>
      <w:r w:rsidRPr="00E14E20">
        <w:rPr>
          <w:rFonts w:ascii="Arial" w:hAnsi="Arial" w:cs="Arial"/>
          <w:b/>
          <w:bCs/>
          <w:i/>
          <w:iCs/>
          <w:szCs w:val="22"/>
        </w:rPr>
        <w:t>Formación especializada</w:t>
      </w:r>
      <w:r w:rsidRPr="00E14E20">
        <w:rPr>
          <w:rFonts w:ascii="Arial" w:hAnsi="Arial" w:cs="Arial"/>
          <w:i/>
          <w:iCs/>
          <w:szCs w:val="22"/>
        </w:rPr>
        <w:t>: Corresponde a la formación especializada que tiene el Rol respectivo y que se relaciona con las funciones desarrolladas.</w:t>
      </w:r>
    </w:p>
    <w:p w14:paraId="3D1E9D11" w14:textId="77777777" w:rsidR="00D221CB" w:rsidRPr="00E14E20" w:rsidRDefault="00D221CB" w:rsidP="00D221CB">
      <w:pPr>
        <w:pStyle w:val="Textoindependiente"/>
        <w:keepLines/>
        <w:widowControl w:val="0"/>
        <w:numPr>
          <w:ilvl w:val="0"/>
          <w:numId w:val="14"/>
        </w:numPr>
        <w:autoSpaceDE w:val="0"/>
        <w:autoSpaceDN w:val="0"/>
        <w:spacing w:before="120" w:line="252" w:lineRule="auto"/>
        <w:ind w:right="144"/>
        <w:jc w:val="both"/>
        <w:rPr>
          <w:rFonts w:ascii="Arial" w:hAnsi="Arial" w:cs="Arial"/>
          <w:i/>
          <w:iCs/>
          <w:szCs w:val="22"/>
        </w:rPr>
      </w:pPr>
      <w:r w:rsidRPr="00E14E20">
        <w:rPr>
          <w:rFonts w:ascii="Arial" w:hAnsi="Arial" w:cs="Arial"/>
          <w:b/>
          <w:bCs/>
          <w:i/>
          <w:iCs/>
          <w:szCs w:val="22"/>
        </w:rPr>
        <w:t>Historial laboral</w:t>
      </w:r>
      <w:r w:rsidRPr="00E14E20">
        <w:rPr>
          <w:rFonts w:ascii="Arial" w:hAnsi="Arial" w:cs="Arial"/>
          <w:i/>
          <w:iCs/>
          <w:szCs w:val="22"/>
        </w:rPr>
        <w:t>: Se refiere al detalle de las últimas experiencias laborales del Rol donde se incluye información general del puesto y el periodo durante el cual se desarrolló.</w:t>
      </w:r>
    </w:p>
    <w:p w14:paraId="5A7C7096" w14:textId="77777777" w:rsidR="00D221CB" w:rsidRPr="00E14E20" w:rsidRDefault="00D221CB" w:rsidP="00D221CB">
      <w:pPr>
        <w:pStyle w:val="Textoindependiente"/>
        <w:keepLines/>
        <w:widowControl w:val="0"/>
        <w:numPr>
          <w:ilvl w:val="0"/>
          <w:numId w:val="14"/>
        </w:numPr>
        <w:autoSpaceDE w:val="0"/>
        <w:autoSpaceDN w:val="0"/>
        <w:spacing w:before="120" w:line="252" w:lineRule="auto"/>
        <w:ind w:right="144"/>
        <w:jc w:val="both"/>
        <w:rPr>
          <w:rFonts w:ascii="Arial" w:hAnsi="Arial" w:cs="Arial"/>
          <w:i/>
          <w:iCs/>
          <w:szCs w:val="22"/>
        </w:rPr>
      </w:pPr>
      <w:r w:rsidRPr="00E14E20">
        <w:rPr>
          <w:rFonts w:ascii="Arial" w:hAnsi="Arial" w:cs="Arial"/>
          <w:b/>
          <w:bCs/>
          <w:i/>
          <w:iCs/>
          <w:szCs w:val="22"/>
        </w:rPr>
        <w:t>Antecedentes disciplinarios y judiciales</w:t>
      </w:r>
      <w:r w:rsidRPr="00E14E20">
        <w:rPr>
          <w:rFonts w:ascii="Arial" w:hAnsi="Arial" w:cs="Arial"/>
          <w:i/>
          <w:iCs/>
          <w:szCs w:val="22"/>
        </w:rPr>
        <w:t>: Corresponde a una serie de preguntas de respuesta cerrada, sobre algunos antecedentes penales del Rol respectivo. Para los casos afirmativos se debe incluir las observaciones respectivas.</w:t>
      </w:r>
    </w:p>
    <w:p w14:paraId="72F81B68" w14:textId="77777777" w:rsidR="00D221CB" w:rsidRPr="00E14E20" w:rsidRDefault="00D221CB" w:rsidP="00D221CB">
      <w:pPr>
        <w:pStyle w:val="Textoindependiente"/>
        <w:spacing w:before="120" w:line="252" w:lineRule="auto"/>
        <w:ind w:right="130"/>
        <w:jc w:val="both"/>
        <w:rPr>
          <w:rFonts w:ascii="Arial" w:hAnsi="Arial" w:cs="Arial"/>
          <w:i/>
          <w:iCs/>
          <w:szCs w:val="22"/>
        </w:rPr>
      </w:pPr>
      <w:r w:rsidRPr="00E14E20">
        <w:rPr>
          <w:rFonts w:ascii="Arial" w:hAnsi="Arial" w:cs="Arial"/>
          <w:i/>
          <w:iCs/>
          <w:szCs w:val="22"/>
        </w:rPr>
        <w:t xml:space="preserve">A </w:t>
      </w:r>
      <w:r w:rsidR="00C259A3" w:rsidRPr="00E14E20">
        <w:rPr>
          <w:rFonts w:ascii="Arial" w:hAnsi="Arial" w:cs="Arial"/>
          <w:i/>
          <w:iCs/>
          <w:szCs w:val="22"/>
        </w:rPr>
        <w:t>continuación,</w:t>
      </w:r>
      <w:r w:rsidRPr="00E14E20">
        <w:rPr>
          <w:rFonts w:ascii="Arial" w:hAnsi="Arial" w:cs="Arial"/>
          <w:i/>
          <w:iCs/>
          <w:szCs w:val="22"/>
        </w:rPr>
        <w:t xml:space="preserve"> se detallan los Roles que deben llenar la declaración jurada, así como las secciones que se deben completar para los roles que conforman los puestos o instancias de control siguientes:</w:t>
      </w:r>
    </w:p>
    <w:tbl>
      <w:tblPr>
        <w:tblStyle w:val="Tablaconcuadrcula"/>
        <w:tblW w:w="9351" w:type="dxa"/>
        <w:tblLook w:val="04A0" w:firstRow="1" w:lastRow="0" w:firstColumn="1" w:lastColumn="0" w:noHBand="0" w:noVBand="1"/>
      </w:tblPr>
      <w:tblGrid>
        <w:gridCol w:w="2687"/>
        <w:gridCol w:w="1701"/>
        <w:gridCol w:w="1704"/>
        <w:gridCol w:w="1558"/>
        <w:gridCol w:w="1701"/>
      </w:tblGrid>
      <w:tr w:rsidR="00D221CB" w:rsidRPr="00E14E20" w14:paraId="07F262DC" w14:textId="77777777" w:rsidTr="001A0AE2">
        <w:trPr>
          <w:trHeight w:val="492"/>
          <w:tblHeader/>
        </w:trPr>
        <w:tc>
          <w:tcPr>
            <w:tcW w:w="2687" w:type="dxa"/>
            <w:vAlign w:val="center"/>
          </w:tcPr>
          <w:p w14:paraId="33405AB8" w14:textId="77777777" w:rsidR="00D221CB" w:rsidRPr="00E14E20" w:rsidRDefault="00D221CB" w:rsidP="00754F7F">
            <w:pPr>
              <w:pStyle w:val="Textoindependiente"/>
              <w:spacing w:before="120" w:line="252" w:lineRule="auto"/>
              <w:ind w:right="130"/>
              <w:jc w:val="center"/>
              <w:rPr>
                <w:rFonts w:ascii="Arial" w:hAnsi="Arial" w:cs="Arial"/>
                <w:b/>
                <w:bCs/>
                <w:i/>
                <w:iCs/>
                <w:sz w:val="18"/>
                <w:szCs w:val="18"/>
              </w:rPr>
            </w:pPr>
            <w:r w:rsidRPr="00E14E20">
              <w:rPr>
                <w:rFonts w:ascii="Arial" w:hAnsi="Arial" w:cs="Arial"/>
                <w:b/>
                <w:bCs/>
                <w:i/>
                <w:iCs/>
                <w:sz w:val="18"/>
                <w:szCs w:val="18"/>
              </w:rPr>
              <w:t>Rol</w:t>
            </w:r>
          </w:p>
        </w:tc>
        <w:tc>
          <w:tcPr>
            <w:tcW w:w="1701" w:type="dxa"/>
            <w:vAlign w:val="center"/>
          </w:tcPr>
          <w:p w14:paraId="46E51B16" w14:textId="77777777" w:rsidR="00D221CB" w:rsidRPr="00E14E20" w:rsidRDefault="00D221CB" w:rsidP="00754F7F">
            <w:pPr>
              <w:pStyle w:val="Textoindependiente"/>
              <w:spacing w:before="120" w:line="252" w:lineRule="auto"/>
              <w:ind w:right="130"/>
              <w:jc w:val="center"/>
              <w:rPr>
                <w:rFonts w:ascii="Arial" w:hAnsi="Arial" w:cs="Arial"/>
                <w:b/>
                <w:bCs/>
                <w:i/>
                <w:iCs/>
                <w:sz w:val="18"/>
                <w:szCs w:val="18"/>
              </w:rPr>
            </w:pPr>
            <w:r w:rsidRPr="00E14E20">
              <w:rPr>
                <w:rFonts w:ascii="Arial" w:hAnsi="Arial" w:cs="Arial"/>
                <w:b/>
                <w:bCs/>
                <w:i/>
                <w:iCs/>
                <w:sz w:val="18"/>
                <w:szCs w:val="18"/>
              </w:rPr>
              <w:t>Formación Académica</w:t>
            </w:r>
          </w:p>
        </w:tc>
        <w:tc>
          <w:tcPr>
            <w:tcW w:w="1704" w:type="dxa"/>
            <w:vAlign w:val="center"/>
          </w:tcPr>
          <w:p w14:paraId="5E4CF774" w14:textId="77777777" w:rsidR="00D221CB" w:rsidRPr="00E14E20" w:rsidRDefault="00D221CB" w:rsidP="00754F7F">
            <w:pPr>
              <w:pStyle w:val="Textoindependiente"/>
              <w:spacing w:before="120" w:line="252" w:lineRule="auto"/>
              <w:ind w:right="130"/>
              <w:jc w:val="center"/>
              <w:rPr>
                <w:rFonts w:ascii="Arial" w:hAnsi="Arial" w:cs="Arial"/>
                <w:b/>
                <w:bCs/>
                <w:i/>
                <w:iCs/>
                <w:sz w:val="18"/>
                <w:szCs w:val="18"/>
              </w:rPr>
            </w:pPr>
            <w:r w:rsidRPr="00E14E20">
              <w:rPr>
                <w:rFonts w:ascii="Arial" w:hAnsi="Arial" w:cs="Arial"/>
                <w:b/>
                <w:bCs/>
                <w:i/>
                <w:iCs/>
                <w:sz w:val="18"/>
                <w:szCs w:val="18"/>
              </w:rPr>
              <w:t>Formación Especializada</w:t>
            </w:r>
          </w:p>
        </w:tc>
        <w:tc>
          <w:tcPr>
            <w:tcW w:w="1558" w:type="dxa"/>
            <w:vAlign w:val="center"/>
          </w:tcPr>
          <w:p w14:paraId="49BDFC86" w14:textId="77777777" w:rsidR="00D221CB" w:rsidRPr="00E14E20" w:rsidRDefault="00D221CB" w:rsidP="00754F7F">
            <w:pPr>
              <w:pStyle w:val="Textoindependiente"/>
              <w:spacing w:before="120" w:line="252" w:lineRule="auto"/>
              <w:ind w:right="130"/>
              <w:jc w:val="center"/>
              <w:rPr>
                <w:rFonts w:ascii="Arial" w:hAnsi="Arial" w:cs="Arial"/>
                <w:b/>
                <w:bCs/>
                <w:i/>
                <w:iCs/>
                <w:color w:val="000000" w:themeColor="text1"/>
                <w:sz w:val="18"/>
                <w:szCs w:val="18"/>
              </w:rPr>
            </w:pPr>
            <w:r w:rsidRPr="00E14E20">
              <w:rPr>
                <w:rFonts w:ascii="Arial" w:hAnsi="Arial" w:cs="Arial"/>
                <w:b/>
                <w:bCs/>
                <w:i/>
                <w:iCs/>
                <w:color w:val="000000" w:themeColor="text1"/>
                <w:sz w:val="18"/>
                <w:szCs w:val="18"/>
              </w:rPr>
              <w:t>Historial laboral</w:t>
            </w:r>
          </w:p>
        </w:tc>
        <w:tc>
          <w:tcPr>
            <w:tcW w:w="1701" w:type="dxa"/>
            <w:vAlign w:val="center"/>
          </w:tcPr>
          <w:p w14:paraId="188D834A" w14:textId="77777777" w:rsidR="00D221CB" w:rsidRPr="00E14E20" w:rsidRDefault="00D221CB" w:rsidP="00754F7F">
            <w:pPr>
              <w:pStyle w:val="Textoindependiente"/>
              <w:spacing w:before="120" w:line="252" w:lineRule="auto"/>
              <w:ind w:right="130"/>
              <w:jc w:val="center"/>
              <w:rPr>
                <w:rFonts w:ascii="Arial" w:hAnsi="Arial" w:cs="Arial"/>
                <w:b/>
                <w:bCs/>
                <w:i/>
                <w:iCs/>
                <w:color w:val="000000" w:themeColor="text1"/>
                <w:sz w:val="18"/>
                <w:szCs w:val="18"/>
              </w:rPr>
            </w:pPr>
            <w:r w:rsidRPr="00E14E20">
              <w:rPr>
                <w:rFonts w:ascii="Arial" w:hAnsi="Arial" w:cs="Arial"/>
                <w:b/>
                <w:bCs/>
                <w:i/>
                <w:iCs/>
                <w:color w:val="000000" w:themeColor="text1"/>
                <w:sz w:val="18"/>
                <w:szCs w:val="18"/>
              </w:rPr>
              <w:t>Antecedentes disciplinarios y judiciales</w:t>
            </w:r>
          </w:p>
        </w:tc>
      </w:tr>
      <w:tr w:rsidR="00D221CB" w:rsidRPr="00E14E20" w14:paraId="67509D85" w14:textId="77777777" w:rsidTr="00F32280">
        <w:trPr>
          <w:trHeight w:val="283"/>
        </w:trPr>
        <w:tc>
          <w:tcPr>
            <w:tcW w:w="2687" w:type="dxa"/>
          </w:tcPr>
          <w:p w14:paraId="78C75581" w14:textId="77777777" w:rsidR="00D221CB" w:rsidRPr="00E14E20" w:rsidRDefault="00E14E20" w:rsidP="00754F7F">
            <w:pPr>
              <w:pStyle w:val="Textoindependiente"/>
              <w:spacing w:before="120" w:line="252" w:lineRule="auto"/>
              <w:ind w:right="130"/>
              <w:jc w:val="both"/>
              <w:rPr>
                <w:rFonts w:ascii="Arial" w:hAnsi="Arial" w:cs="Arial"/>
                <w:i/>
                <w:iCs/>
                <w:sz w:val="18"/>
                <w:szCs w:val="18"/>
              </w:rPr>
            </w:pPr>
            <w:r w:rsidRPr="00E14E20">
              <w:rPr>
                <w:rFonts w:ascii="Arial" w:hAnsi="Arial" w:cs="Arial"/>
                <w:i/>
                <w:iCs/>
                <w:sz w:val="18"/>
                <w:szCs w:val="18"/>
              </w:rPr>
              <w:t>Órgano</w:t>
            </w:r>
            <w:r w:rsidR="00D221CB" w:rsidRPr="00E14E20">
              <w:rPr>
                <w:rFonts w:ascii="Arial" w:hAnsi="Arial" w:cs="Arial"/>
                <w:i/>
                <w:iCs/>
                <w:sz w:val="18"/>
                <w:szCs w:val="18"/>
              </w:rPr>
              <w:t xml:space="preserve"> director</w:t>
            </w:r>
          </w:p>
        </w:tc>
        <w:tc>
          <w:tcPr>
            <w:tcW w:w="1701" w:type="dxa"/>
          </w:tcPr>
          <w:p w14:paraId="12282FED"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4" w:type="dxa"/>
          </w:tcPr>
          <w:p w14:paraId="2AC34687"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558" w:type="dxa"/>
          </w:tcPr>
          <w:p w14:paraId="2075820F"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1" w:type="dxa"/>
          </w:tcPr>
          <w:p w14:paraId="570B4B32"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r>
      <w:tr w:rsidR="00D221CB" w:rsidRPr="00E14E20" w14:paraId="50FAA486" w14:textId="77777777" w:rsidTr="00F32280">
        <w:trPr>
          <w:trHeight w:val="283"/>
        </w:trPr>
        <w:tc>
          <w:tcPr>
            <w:tcW w:w="2687" w:type="dxa"/>
          </w:tcPr>
          <w:p w14:paraId="1AB7E7C9" w14:textId="77777777" w:rsidR="00D221CB" w:rsidRPr="00E14E20" w:rsidRDefault="00D221CB" w:rsidP="00754F7F">
            <w:pPr>
              <w:pStyle w:val="Textoindependiente"/>
              <w:spacing w:before="120" w:line="252" w:lineRule="auto"/>
              <w:ind w:right="130"/>
              <w:jc w:val="both"/>
              <w:rPr>
                <w:rFonts w:ascii="Arial" w:hAnsi="Arial" w:cs="Arial"/>
                <w:i/>
                <w:iCs/>
                <w:sz w:val="18"/>
                <w:szCs w:val="18"/>
              </w:rPr>
            </w:pPr>
            <w:r w:rsidRPr="00E14E20">
              <w:rPr>
                <w:rFonts w:ascii="Arial" w:hAnsi="Arial" w:cs="Arial"/>
                <w:i/>
                <w:iCs/>
                <w:sz w:val="18"/>
                <w:szCs w:val="18"/>
              </w:rPr>
              <w:t>Alta Gerencia</w:t>
            </w:r>
          </w:p>
        </w:tc>
        <w:tc>
          <w:tcPr>
            <w:tcW w:w="1701" w:type="dxa"/>
          </w:tcPr>
          <w:p w14:paraId="1C43D626"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4" w:type="dxa"/>
          </w:tcPr>
          <w:p w14:paraId="717B3842"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558" w:type="dxa"/>
          </w:tcPr>
          <w:p w14:paraId="1F2A2E9F"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1" w:type="dxa"/>
          </w:tcPr>
          <w:p w14:paraId="304B39F1"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r>
      <w:tr w:rsidR="00D221CB" w:rsidRPr="00E14E20" w14:paraId="04D04DDF" w14:textId="77777777" w:rsidTr="00F32280">
        <w:trPr>
          <w:trHeight w:val="283"/>
        </w:trPr>
        <w:tc>
          <w:tcPr>
            <w:tcW w:w="2687" w:type="dxa"/>
          </w:tcPr>
          <w:p w14:paraId="3A867794" w14:textId="77777777" w:rsidR="00D221CB" w:rsidRPr="00E14E20" w:rsidRDefault="00D221CB" w:rsidP="00754F7F">
            <w:pPr>
              <w:pStyle w:val="Textoindependiente"/>
              <w:spacing w:before="120" w:line="252" w:lineRule="auto"/>
              <w:ind w:right="130"/>
              <w:jc w:val="both"/>
              <w:rPr>
                <w:rFonts w:ascii="Arial" w:hAnsi="Arial" w:cs="Arial"/>
                <w:i/>
                <w:iCs/>
                <w:sz w:val="18"/>
                <w:szCs w:val="18"/>
              </w:rPr>
            </w:pPr>
            <w:r w:rsidRPr="00E14E20">
              <w:rPr>
                <w:rFonts w:ascii="Arial" w:hAnsi="Arial" w:cs="Arial"/>
                <w:i/>
                <w:iCs/>
                <w:sz w:val="18"/>
                <w:szCs w:val="18"/>
              </w:rPr>
              <w:t>Oficial de Cumplimiento</w:t>
            </w:r>
          </w:p>
        </w:tc>
        <w:tc>
          <w:tcPr>
            <w:tcW w:w="1701" w:type="dxa"/>
          </w:tcPr>
          <w:p w14:paraId="53A64CDE"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4" w:type="dxa"/>
          </w:tcPr>
          <w:p w14:paraId="2DDFD444"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558" w:type="dxa"/>
          </w:tcPr>
          <w:p w14:paraId="7EDEF297"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1" w:type="dxa"/>
          </w:tcPr>
          <w:p w14:paraId="4A0D8C68"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r>
      <w:tr w:rsidR="00D221CB" w:rsidRPr="00E14E20" w14:paraId="4BA51F68" w14:textId="77777777" w:rsidTr="00F32280">
        <w:trPr>
          <w:trHeight w:val="283"/>
        </w:trPr>
        <w:tc>
          <w:tcPr>
            <w:tcW w:w="2687" w:type="dxa"/>
          </w:tcPr>
          <w:p w14:paraId="4648208E" w14:textId="77777777" w:rsidR="00D221CB" w:rsidRPr="00E14E20" w:rsidRDefault="00D221CB" w:rsidP="00754F7F">
            <w:pPr>
              <w:pStyle w:val="Textoindependiente"/>
              <w:spacing w:before="120" w:line="252" w:lineRule="auto"/>
              <w:ind w:right="130"/>
              <w:jc w:val="both"/>
              <w:rPr>
                <w:rFonts w:ascii="Arial" w:hAnsi="Arial" w:cs="Arial"/>
                <w:i/>
                <w:iCs/>
                <w:sz w:val="18"/>
                <w:szCs w:val="18"/>
              </w:rPr>
            </w:pPr>
            <w:r w:rsidRPr="00E14E20">
              <w:rPr>
                <w:rFonts w:ascii="Arial" w:hAnsi="Arial" w:cs="Arial"/>
                <w:i/>
                <w:iCs/>
                <w:sz w:val="18"/>
                <w:szCs w:val="18"/>
              </w:rPr>
              <w:t>Oficial de Cumplimiento adjunto</w:t>
            </w:r>
          </w:p>
        </w:tc>
        <w:tc>
          <w:tcPr>
            <w:tcW w:w="1701" w:type="dxa"/>
          </w:tcPr>
          <w:p w14:paraId="5815B86F"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4" w:type="dxa"/>
          </w:tcPr>
          <w:p w14:paraId="545153CA"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558" w:type="dxa"/>
          </w:tcPr>
          <w:p w14:paraId="4F084193"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1" w:type="dxa"/>
          </w:tcPr>
          <w:p w14:paraId="0AC89267"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r>
      <w:tr w:rsidR="00D221CB" w:rsidRPr="00E14E20" w14:paraId="07D05ECF" w14:textId="77777777" w:rsidTr="00F32280">
        <w:trPr>
          <w:trHeight w:val="283"/>
        </w:trPr>
        <w:tc>
          <w:tcPr>
            <w:tcW w:w="2687" w:type="dxa"/>
          </w:tcPr>
          <w:p w14:paraId="18B2B625" w14:textId="77777777" w:rsidR="00D221CB" w:rsidRPr="00E14E20" w:rsidRDefault="00D221CB" w:rsidP="00754F7F">
            <w:pPr>
              <w:pStyle w:val="Textoindependiente"/>
              <w:spacing w:before="120" w:line="252" w:lineRule="auto"/>
              <w:ind w:right="130"/>
              <w:jc w:val="both"/>
              <w:rPr>
                <w:rFonts w:ascii="Arial" w:hAnsi="Arial" w:cs="Arial"/>
                <w:i/>
                <w:iCs/>
                <w:sz w:val="18"/>
                <w:szCs w:val="18"/>
              </w:rPr>
            </w:pPr>
            <w:r w:rsidRPr="00E14E20">
              <w:rPr>
                <w:rFonts w:ascii="Arial" w:hAnsi="Arial" w:cs="Arial"/>
                <w:i/>
                <w:iCs/>
                <w:sz w:val="18"/>
                <w:szCs w:val="18"/>
              </w:rPr>
              <w:t>Auditor Interno</w:t>
            </w:r>
          </w:p>
        </w:tc>
        <w:tc>
          <w:tcPr>
            <w:tcW w:w="1701" w:type="dxa"/>
          </w:tcPr>
          <w:p w14:paraId="1B02695C"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4" w:type="dxa"/>
          </w:tcPr>
          <w:p w14:paraId="46909F93"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558" w:type="dxa"/>
          </w:tcPr>
          <w:p w14:paraId="3546AA3D"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1" w:type="dxa"/>
          </w:tcPr>
          <w:p w14:paraId="72FDA5D9"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r>
      <w:tr w:rsidR="00D221CB" w:rsidRPr="00E14E20" w14:paraId="0B0E31F8" w14:textId="77777777" w:rsidTr="00F32280">
        <w:trPr>
          <w:trHeight w:val="283"/>
        </w:trPr>
        <w:tc>
          <w:tcPr>
            <w:tcW w:w="2687" w:type="dxa"/>
          </w:tcPr>
          <w:p w14:paraId="5FD1F11B" w14:textId="77777777" w:rsidR="00D221CB" w:rsidRPr="00E14E20" w:rsidRDefault="00D221CB" w:rsidP="00754F7F">
            <w:pPr>
              <w:pStyle w:val="Textoindependiente"/>
              <w:spacing w:before="120" w:line="252" w:lineRule="auto"/>
              <w:ind w:right="130"/>
              <w:jc w:val="both"/>
              <w:rPr>
                <w:rFonts w:ascii="Arial" w:hAnsi="Arial" w:cs="Arial"/>
                <w:i/>
                <w:iCs/>
                <w:sz w:val="18"/>
                <w:szCs w:val="18"/>
              </w:rPr>
            </w:pPr>
            <w:r w:rsidRPr="00E14E20">
              <w:rPr>
                <w:rFonts w:ascii="Arial" w:hAnsi="Arial" w:cs="Arial"/>
                <w:i/>
                <w:iCs/>
                <w:sz w:val="18"/>
                <w:szCs w:val="18"/>
              </w:rPr>
              <w:t>Gestor de Portafolios</w:t>
            </w:r>
          </w:p>
        </w:tc>
        <w:tc>
          <w:tcPr>
            <w:tcW w:w="1701" w:type="dxa"/>
          </w:tcPr>
          <w:p w14:paraId="141B84B5"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4" w:type="dxa"/>
          </w:tcPr>
          <w:p w14:paraId="7EBEDCCE"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558" w:type="dxa"/>
          </w:tcPr>
          <w:p w14:paraId="7B29CEDB"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c>
          <w:tcPr>
            <w:tcW w:w="1701" w:type="dxa"/>
          </w:tcPr>
          <w:p w14:paraId="0DF1A9DD" w14:textId="77777777" w:rsidR="00D221CB" w:rsidRPr="00E14E20" w:rsidRDefault="00D221CB" w:rsidP="00754F7F">
            <w:pPr>
              <w:pStyle w:val="Textoindependiente"/>
              <w:spacing w:before="120" w:line="252" w:lineRule="auto"/>
              <w:ind w:right="130"/>
              <w:jc w:val="center"/>
              <w:rPr>
                <w:rFonts w:ascii="Arial" w:hAnsi="Arial" w:cs="Arial"/>
                <w:i/>
                <w:iCs/>
                <w:sz w:val="18"/>
                <w:szCs w:val="18"/>
              </w:rPr>
            </w:pPr>
            <w:r w:rsidRPr="00E14E20">
              <w:rPr>
                <w:rFonts w:ascii="Arial" w:hAnsi="Arial" w:cs="Arial"/>
                <w:i/>
                <w:iCs/>
                <w:sz w:val="18"/>
                <w:szCs w:val="18"/>
              </w:rPr>
              <w:t>X</w:t>
            </w:r>
          </w:p>
        </w:tc>
      </w:tr>
      <w:tr w:rsidR="00D221CB" w:rsidRPr="00E14E20" w14:paraId="5ED3C767" w14:textId="77777777" w:rsidTr="00F32280">
        <w:trPr>
          <w:trHeight w:val="283"/>
        </w:trPr>
        <w:tc>
          <w:tcPr>
            <w:tcW w:w="2687" w:type="dxa"/>
          </w:tcPr>
          <w:p w14:paraId="3A9FB0CA" w14:textId="77777777" w:rsidR="00D221CB" w:rsidRPr="00BF6B72" w:rsidRDefault="00D221CB" w:rsidP="00754F7F">
            <w:pPr>
              <w:pStyle w:val="Textoindependiente"/>
              <w:spacing w:before="120" w:line="252" w:lineRule="auto"/>
              <w:ind w:right="130"/>
              <w:jc w:val="both"/>
              <w:rPr>
                <w:rFonts w:ascii="Arial" w:hAnsi="Arial" w:cs="Arial"/>
                <w:i/>
                <w:iCs/>
                <w:sz w:val="18"/>
                <w:szCs w:val="18"/>
              </w:rPr>
            </w:pPr>
            <w:r w:rsidRPr="00BF6B72">
              <w:rPr>
                <w:rFonts w:ascii="Arial" w:hAnsi="Arial" w:cs="Arial"/>
                <w:i/>
                <w:iCs/>
                <w:sz w:val="18"/>
                <w:szCs w:val="18"/>
              </w:rPr>
              <w:lastRenderedPageBreak/>
              <w:t>Estructura de Capital</w:t>
            </w:r>
          </w:p>
        </w:tc>
        <w:tc>
          <w:tcPr>
            <w:tcW w:w="1701" w:type="dxa"/>
          </w:tcPr>
          <w:p w14:paraId="1B4E09FB" w14:textId="77777777" w:rsidR="00D221CB" w:rsidRPr="00BF6B72" w:rsidRDefault="00D221CB" w:rsidP="00754F7F">
            <w:pPr>
              <w:pStyle w:val="Textoindependiente"/>
              <w:spacing w:before="120" w:line="252" w:lineRule="auto"/>
              <w:ind w:right="130"/>
              <w:jc w:val="center"/>
              <w:rPr>
                <w:rFonts w:ascii="Arial" w:hAnsi="Arial" w:cs="Arial"/>
                <w:i/>
                <w:iCs/>
                <w:sz w:val="18"/>
                <w:szCs w:val="18"/>
              </w:rPr>
            </w:pPr>
          </w:p>
        </w:tc>
        <w:tc>
          <w:tcPr>
            <w:tcW w:w="1704" w:type="dxa"/>
          </w:tcPr>
          <w:p w14:paraId="1BE1986F" w14:textId="77777777" w:rsidR="00D221CB" w:rsidRPr="00BF6B72" w:rsidRDefault="00D221CB" w:rsidP="00754F7F">
            <w:pPr>
              <w:pStyle w:val="Textoindependiente"/>
              <w:spacing w:before="120" w:line="252" w:lineRule="auto"/>
              <w:ind w:right="130"/>
              <w:jc w:val="center"/>
              <w:rPr>
                <w:rFonts w:ascii="Arial" w:hAnsi="Arial" w:cs="Arial"/>
                <w:i/>
                <w:iCs/>
                <w:sz w:val="18"/>
                <w:szCs w:val="18"/>
              </w:rPr>
            </w:pPr>
          </w:p>
        </w:tc>
        <w:tc>
          <w:tcPr>
            <w:tcW w:w="1558" w:type="dxa"/>
          </w:tcPr>
          <w:p w14:paraId="38A1A148" w14:textId="77777777" w:rsidR="00D221CB" w:rsidRPr="00BF6B72" w:rsidRDefault="00D221CB" w:rsidP="00754F7F">
            <w:pPr>
              <w:pStyle w:val="Textoindependiente"/>
              <w:spacing w:before="120" w:line="252" w:lineRule="auto"/>
              <w:ind w:right="130"/>
              <w:jc w:val="center"/>
              <w:rPr>
                <w:rFonts w:ascii="Arial" w:hAnsi="Arial" w:cs="Arial"/>
                <w:i/>
                <w:iCs/>
                <w:sz w:val="18"/>
                <w:szCs w:val="18"/>
              </w:rPr>
            </w:pPr>
          </w:p>
        </w:tc>
        <w:tc>
          <w:tcPr>
            <w:tcW w:w="1701" w:type="dxa"/>
          </w:tcPr>
          <w:p w14:paraId="2BB52185" w14:textId="77777777" w:rsidR="00D221CB" w:rsidRPr="00BF6B72" w:rsidRDefault="00D221CB" w:rsidP="00754F7F">
            <w:pPr>
              <w:pStyle w:val="Textoindependiente"/>
              <w:spacing w:before="120" w:line="252" w:lineRule="auto"/>
              <w:ind w:right="130"/>
              <w:jc w:val="center"/>
              <w:rPr>
                <w:rFonts w:ascii="Arial" w:hAnsi="Arial" w:cs="Arial"/>
                <w:i/>
                <w:iCs/>
                <w:sz w:val="18"/>
                <w:szCs w:val="18"/>
              </w:rPr>
            </w:pPr>
            <w:r w:rsidRPr="00BF6B72">
              <w:rPr>
                <w:rFonts w:ascii="Arial" w:hAnsi="Arial" w:cs="Arial"/>
                <w:i/>
                <w:iCs/>
                <w:sz w:val="18"/>
                <w:szCs w:val="18"/>
              </w:rPr>
              <w:t>X</w:t>
            </w:r>
          </w:p>
        </w:tc>
      </w:tr>
      <w:tr w:rsidR="00D221CB" w:rsidRPr="00E14E20" w14:paraId="2A7B0808" w14:textId="77777777" w:rsidTr="00F32280">
        <w:trPr>
          <w:trHeight w:val="283"/>
        </w:trPr>
        <w:tc>
          <w:tcPr>
            <w:tcW w:w="2687" w:type="dxa"/>
          </w:tcPr>
          <w:p w14:paraId="7D959D52" w14:textId="77777777" w:rsidR="00D221CB" w:rsidRPr="00BF6B72" w:rsidRDefault="00D221CB" w:rsidP="00754F7F">
            <w:pPr>
              <w:pStyle w:val="Textoindependiente"/>
              <w:spacing w:before="120" w:line="252" w:lineRule="auto"/>
              <w:ind w:right="130"/>
              <w:jc w:val="both"/>
              <w:rPr>
                <w:rFonts w:ascii="Arial" w:hAnsi="Arial" w:cs="Arial"/>
                <w:i/>
                <w:iCs/>
                <w:sz w:val="18"/>
                <w:szCs w:val="18"/>
              </w:rPr>
            </w:pPr>
            <w:r w:rsidRPr="00BF6B72">
              <w:rPr>
                <w:rFonts w:ascii="Arial" w:hAnsi="Arial" w:cs="Arial"/>
                <w:i/>
                <w:iCs/>
                <w:sz w:val="18"/>
                <w:szCs w:val="18"/>
              </w:rPr>
              <w:t>Fiscal</w:t>
            </w:r>
          </w:p>
        </w:tc>
        <w:tc>
          <w:tcPr>
            <w:tcW w:w="1701" w:type="dxa"/>
          </w:tcPr>
          <w:p w14:paraId="6FC149FF" w14:textId="77777777" w:rsidR="00D221CB" w:rsidRPr="00BF6B72" w:rsidRDefault="00D221CB" w:rsidP="00754F7F">
            <w:pPr>
              <w:pStyle w:val="Textoindependiente"/>
              <w:spacing w:before="120" w:line="252" w:lineRule="auto"/>
              <w:ind w:right="130"/>
              <w:jc w:val="center"/>
              <w:rPr>
                <w:rFonts w:ascii="Arial" w:hAnsi="Arial" w:cs="Arial"/>
                <w:i/>
                <w:iCs/>
                <w:sz w:val="18"/>
                <w:szCs w:val="18"/>
              </w:rPr>
            </w:pPr>
          </w:p>
        </w:tc>
        <w:tc>
          <w:tcPr>
            <w:tcW w:w="1704" w:type="dxa"/>
          </w:tcPr>
          <w:p w14:paraId="6540BB8A" w14:textId="77777777" w:rsidR="00D221CB" w:rsidRPr="00BF6B72" w:rsidRDefault="00D221CB" w:rsidP="00754F7F">
            <w:pPr>
              <w:pStyle w:val="Textoindependiente"/>
              <w:spacing w:before="120" w:line="252" w:lineRule="auto"/>
              <w:ind w:right="130"/>
              <w:jc w:val="center"/>
              <w:rPr>
                <w:rFonts w:ascii="Arial" w:hAnsi="Arial" w:cs="Arial"/>
                <w:i/>
                <w:iCs/>
                <w:sz w:val="18"/>
                <w:szCs w:val="18"/>
              </w:rPr>
            </w:pPr>
          </w:p>
        </w:tc>
        <w:tc>
          <w:tcPr>
            <w:tcW w:w="1558" w:type="dxa"/>
          </w:tcPr>
          <w:p w14:paraId="7F67795E" w14:textId="77777777" w:rsidR="00D221CB" w:rsidRPr="00BF6B72" w:rsidRDefault="00D221CB" w:rsidP="00754F7F">
            <w:pPr>
              <w:pStyle w:val="Textoindependiente"/>
              <w:spacing w:before="120" w:line="252" w:lineRule="auto"/>
              <w:ind w:right="130"/>
              <w:jc w:val="center"/>
              <w:rPr>
                <w:rFonts w:ascii="Arial" w:hAnsi="Arial" w:cs="Arial"/>
                <w:i/>
                <w:iCs/>
                <w:sz w:val="18"/>
                <w:szCs w:val="18"/>
              </w:rPr>
            </w:pPr>
          </w:p>
        </w:tc>
        <w:tc>
          <w:tcPr>
            <w:tcW w:w="1701" w:type="dxa"/>
          </w:tcPr>
          <w:p w14:paraId="3FA7FBFE" w14:textId="77777777" w:rsidR="00D221CB" w:rsidRPr="00BF6B72" w:rsidRDefault="00D221CB" w:rsidP="00754F7F">
            <w:pPr>
              <w:pStyle w:val="Textoindependiente"/>
              <w:spacing w:before="120" w:line="252" w:lineRule="auto"/>
              <w:ind w:right="130"/>
              <w:jc w:val="center"/>
              <w:rPr>
                <w:rFonts w:ascii="Arial" w:hAnsi="Arial" w:cs="Arial"/>
                <w:i/>
                <w:iCs/>
                <w:sz w:val="18"/>
                <w:szCs w:val="18"/>
              </w:rPr>
            </w:pPr>
            <w:r w:rsidRPr="00BF6B72">
              <w:rPr>
                <w:rFonts w:ascii="Arial" w:hAnsi="Arial" w:cs="Arial"/>
                <w:i/>
                <w:iCs/>
                <w:sz w:val="18"/>
                <w:szCs w:val="18"/>
              </w:rPr>
              <w:t>X</w:t>
            </w:r>
          </w:p>
        </w:tc>
      </w:tr>
    </w:tbl>
    <w:p w14:paraId="4CEFDCB1" w14:textId="77777777" w:rsidR="00D221CB" w:rsidRPr="00AE0144" w:rsidRDefault="00E14E20" w:rsidP="00D221CB">
      <w:pPr>
        <w:pStyle w:val="Sinespaciado"/>
        <w:rPr>
          <w:lang w:val="es-CR"/>
        </w:rPr>
      </w:pPr>
      <w:r>
        <w:rPr>
          <w:lang w:val="es-CR"/>
        </w:rPr>
        <w:t>“</w:t>
      </w:r>
    </w:p>
    <w:bookmarkEnd w:id="0"/>
    <w:p w14:paraId="28F25E93" w14:textId="77777777" w:rsidR="00EE330C" w:rsidRPr="00EE330C" w:rsidRDefault="00EE330C" w:rsidP="00EE330C">
      <w:pPr>
        <w:pStyle w:val="Textoindependiente3"/>
        <w:spacing w:after="0"/>
        <w:jc w:val="both"/>
        <w:rPr>
          <w:rFonts w:ascii="Arial" w:hAnsi="Arial" w:cs="Arial"/>
          <w:b/>
          <w:color w:val="000000" w:themeColor="text1"/>
          <w:sz w:val="22"/>
          <w:szCs w:val="22"/>
          <w:lang w:val="es-CR"/>
        </w:rPr>
      </w:pPr>
    </w:p>
    <w:p w14:paraId="7522F2EF" w14:textId="77777777" w:rsidR="00BC582F" w:rsidRPr="00CD6479" w:rsidRDefault="00BC582F" w:rsidP="00341C8A">
      <w:pPr>
        <w:jc w:val="both"/>
        <w:rPr>
          <w:rFonts w:ascii="Arial" w:hAnsi="Arial" w:cs="Arial"/>
          <w:b/>
          <w:bCs/>
          <w:color w:val="000000" w:themeColor="text1"/>
          <w:lang w:val="es-ES" w:eastAsia="es-CR"/>
        </w:rPr>
      </w:pPr>
      <w:r w:rsidRPr="00CD6479">
        <w:rPr>
          <w:rFonts w:ascii="Arial" w:hAnsi="Arial" w:cs="Arial"/>
          <w:b/>
          <w:bCs/>
          <w:color w:val="000000" w:themeColor="text1"/>
          <w:lang w:val="es-ES" w:eastAsia="es-CR"/>
        </w:rPr>
        <w:t xml:space="preserve">Artículo </w:t>
      </w:r>
      <w:r w:rsidR="00FB3B54">
        <w:rPr>
          <w:rFonts w:ascii="Arial" w:hAnsi="Arial" w:cs="Arial"/>
          <w:b/>
          <w:bCs/>
          <w:color w:val="000000" w:themeColor="text1"/>
          <w:lang w:val="es-ES" w:eastAsia="es-CR"/>
        </w:rPr>
        <w:t>3</w:t>
      </w:r>
      <w:r w:rsidRPr="00CD6479">
        <w:rPr>
          <w:rFonts w:ascii="Arial" w:hAnsi="Arial" w:cs="Arial"/>
          <w:b/>
          <w:bCs/>
          <w:color w:val="000000" w:themeColor="text1"/>
          <w:lang w:val="es-ES" w:eastAsia="es-CR"/>
        </w:rPr>
        <w:t>. Vigencia</w:t>
      </w:r>
    </w:p>
    <w:p w14:paraId="58CEAA3E" w14:textId="77777777" w:rsidR="00341C8A" w:rsidRPr="00CD6479" w:rsidRDefault="00341C8A" w:rsidP="00F14D96">
      <w:pPr>
        <w:jc w:val="both"/>
        <w:rPr>
          <w:rFonts w:ascii="Arial" w:hAnsi="Arial" w:cs="Arial"/>
          <w:color w:val="000000" w:themeColor="text1"/>
          <w:lang w:val="es-ES" w:eastAsia="es-CR"/>
        </w:rPr>
      </w:pPr>
    </w:p>
    <w:p w14:paraId="5FD8C8BB" w14:textId="0544DD40" w:rsidR="00291B9C" w:rsidRDefault="00BC582F" w:rsidP="00F14D96">
      <w:pPr>
        <w:jc w:val="both"/>
        <w:rPr>
          <w:rFonts w:ascii="Arial" w:hAnsi="Arial" w:cs="Arial"/>
          <w:color w:val="000000" w:themeColor="text1"/>
          <w:lang w:val="es-ES" w:eastAsia="es-CR"/>
        </w:rPr>
      </w:pPr>
      <w:r w:rsidRPr="00F32280">
        <w:rPr>
          <w:rFonts w:ascii="Arial" w:hAnsi="Arial" w:cs="Arial"/>
          <w:color w:val="000000" w:themeColor="text1"/>
          <w:lang w:val="es-ES" w:eastAsia="es-CR"/>
        </w:rPr>
        <w:t xml:space="preserve">Rige a partir del </w:t>
      </w:r>
      <w:r w:rsidR="00F32280" w:rsidRPr="00F32280">
        <w:rPr>
          <w:rFonts w:ascii="Arial" w:hAnsi="Arial" w:cs="Arial"/>
          <w:color w:val="000000" w:themeColor="text1"/>
          <w:lang w:val="es-ES" w:eastAsia="es-CR"/>
        </w:rPr>
        <w:t>31</w:t>
      </w:r>
      <w:r w:rsidR="000335C5" w:rsidRPr="00F32280">
        <w:rPr>
          <w:rFonts w:ascii="Arial" w:hAnsi="Arial" w:cs="Arial"/>
          <w:color w:val="000000" w:themeColor="text1"/>
          <w:lang w:val="es-ES" w:eastAsia="es-CR"/>
        </w:rPr>
        <w:t xml:space="preserve"> </w:t>
      </w:r>
      <w:r w:rsidR="00F14D96" w:rsidRPr="00F32280">
        <w:rPr>
          <w:rFonts w:ascii="Arial" w:hAnsi="Arial" w:cs="Arial"/>
          <w:color w:val="000000" w:themeColor="text1"/>
          <w:lang w:val="es-ES" w:eastAsia="es-CR"/>
        </w:rPr>
        <w:t xml:space="preserve">de </w:t>
      </w:r>
      <w:r w:rsidR="00F628A6" w:rsidRPr="00F32280">
        <w:rPr>
          <w:rFonts w:ascii="Arial" w:hAnsi="Arial" w:cs="Arial"/>
          <w:color w:val="000000" w:themeColor="text1"/>
          <w:lang w:val="es-ES" w:eastAsia="es-CR"/>
        </w:rPr>
        <w:t>julio</w:t>
      </w:r>
      <w:r w:rsidRPr="00F32280">
        <w:rPr>
          <w:rFonts w:ascii="Arial" w:hAnsi="Arial" w:cs="Arial"/>
          <w:color w:val="000000" w:themeColor="text1"/>
          <w:lang w:val="es-ES" w:eastAsia="es-CR"/>
        </w:rPr>
        <w:t xml:space="preserve"> del 202</w:t>
      </w:r>
      <w:r w:rsidR="00930C63" w:rsidRPr="00F32280">
        <w:rPr>
          <w:rFonts w:ascii="Arial" w:hAnsi="Arial" w:cs="Arial"/>
          <w:color w:val="000000" w:themeColor="text1"/>
          <w:lang w:val="es-ES" w:eastAsia="es-CR"/>
        </w:rPr>
        <w:t>3</w:t>
      </w:r>
      <w:r w:rsidRPr="00F32280">
        <w:rPr>
          <w:rFonts w:ascii="Arial" w:hAnsi="Arial" w:cs="Arial"/>
          <w:color w:val="000000" w:themeColor="text1"/>
          <w:lang w:val="es-ES" w:eastAsia="es-CR"/>
        </w:rPr>
        <w:t>.</w:t>
      </w:r>
    </w:p>
    <w:p w14:paraId="1A999736" w14:textId="77777777" w:rsidR="00291B9C" w:rsidRDefault="00291B9C" w:rsidP="00F14D96">
      <w:pPr>
        <w:jc w:val="both"/>
        <w:rPr>
          <w:rFonts w:ascii="Arial" w:hAnsi="Arial" w:cs="Arial"/>
          <w:color w:val="000000" w:themeColor="text1"/>
          <w:lang w:val="es-ES" w:eastAsia="es-CR"/>
        </w:rPr>
      </w:pPr>
    </w:p>
    <w:p w14:paraId="114AADF7" w14:textId="77777777" w:rsidR="00291B9C" w:rsidRDefault="00291B9C" w:rsidP="00F14D96">
      <w:pPr>
        <w:jc w:val="both"/>
        <w:rPr>
          <w:rFonts w:ascii="Arial" w:hAnsi="Arial" w:cs="Arial"/>
          <w:color w:val="000000" w:themeColor="text1"/>
          <w:lang w:val="es-ES" w:eastAsia="es-CR"/>
        </w:rPr>
      </w:pPr>
      <w:r w:rsidRPr="00B97F72">
        <w:rPr>
          <w:rFonts w:eastAsia="Calibri" w:cs="Arial"/>
          <w:noProof/>
        </w:rPr>
        <w:drawing>
          <wp:inline distT="0" distB="0" distL="0" distR="0" wp14:anchorId="79008ACF" wp14:editId="24DA1C3D">
            <wp:extent cx="2732405" cy="329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sectPr w:rsidR="00291B9C" w:rsidSect="00291B9C">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BD50" w14:textId="77777777" w:rsidR="00605DCF" w:rsidRDefault="00605DCF" w:rsidP="00123BF7">
      <w:r>
        <w:separator/>
      </w:r>
    </w:p>
  </w:endnote>
  <w:endnote w:type="continuationSeparator" w:id="0">
    <w:p w14:paraId="67C4EDB1" w14:textId="77777777" w:rsidR="00605DCF" w:rsidRDefault="00605DCF" w:rsidP="0012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F87B" w14:textId="77777777" w:rsidR="001042B2" w:rsidRDefault="001042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7E95" w14:textId="4B000006" w:rsidR="00B9394D" w:rsidRPr="002C46A1" w:rsidRDefault="00B9394D" w:rsidP="001A0AE2">
    <w:pPr>
      <w:pStyle w:val="Piedepgina"/>
      <w:rPr>
        <w:rFonts w:ascii="Arial" w:hAnsi="Arial" w:cs="Arial"/>
        <w:color w:val="000000" w:themeColor="text1"/>
        <w:spacing w:val="60"/>
      </w:rPr>
    </w:pPr>
  </w:p>
  <w:p w14:paraId="3678E249" w14:textId="32C3E339" w:rsidR="00B9394D" w:rsidRPr="00A71E76" w:rsidRDefault="00A71E76" w:rsidP="00A71E76">
    <w:pPr>
      <w:pStyle w:val="Piedepgina"/>
      <w:pBdr>
        <w:top w:val="single" w:sz="4" w:space="1" w:color="D9D9D9"/>
      </w:pBdr>
      <w:rPr>
        <w:b/>
        <w:bCs/>
      </w:rPr>
    </w:pPr>
    <w:r>
      <w:rPr>
        <w:rFonts w:ascii="Arial" w:hAnsi="Arial" w:cs="Arial"/>
        <w:b/>
        <w:bCs/>
        <w:noProof/>
        <w:color w:val="1B75BB"/>
        <w:lang w:val="en-US"/>
      </w:rPr>
      <mc:AlternateContent>
        <mc:Choice Requires="wps">
          <w:drawing>
            <wp:anchor distT="0" distB="0" distL="114300" distR="114300" simplePos="0" relativeHeight="251664384" behindDoc="0" locked="0" layoutInCell="0" allowOverlap="1" wp14:anchorId="0947EDCF" wp14:editId="277ADE31">
              <wp:simplePos x="0" y="0"/>
              <wp:positionH relativeFrom="page">
                <wp:posOffset>0</wp:posOffset>
              </wp:positionH>
              <wp:positionV relativeFrom="page">
                <wp:posOffset>9594215</wp:posOffset>
              </wp:positionV>
              <wp:extent cx="7772400" cy="273050"/>
              <wp:effectExtent l="0" t="0" r="0" b="12700"/>
              <wp:wrapNone/>
              <wp:docPr id="7" name="MSIPCM23664b7783f1e50381f47aa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44557" w14:textId="23FFA71D" w:rsidR="00A71E76" w:rsidRPr="006F63EA" w:rsidRDefault="001042B2" w:rsidP="00A71E76">
                          <w:pPr>
                            <w:jc w:val="center"/>
                            <w:rPr>
                              <w:rFonts w:cs="Calibri"/>
                              <w:color w:val="000000"/>
                              <w:sz w:val="20"/>
                            </w:rPr>
                          </w:pPr>
                          <w:r>
                            <w:rPr>
                              <w:rFonts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47EDCF" id="_x0000_t202" coordsize="21600,21600" o:spt="202" path="m,l,21600r21600,l21600,xe">
              <v:stroke joinstyle="miter"/>
              <v:path gradientshapeok="t" o:connecttype="rect"/>
            </v:shapetype>
            <v:shape id="MSIPCM23664b7783f1e50381f47aac"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FF44557" w14:textId="23FFA71D" w:rsidR="00A71E76" w:rsidRPr="006F63EA" w:rsidRDefault="001042B2" w:rsidP="00A71E76">
                    <w:pPr>
                      <w:jc w:val="center"/>
                      <w:rPr>
                        <w:rFonts w:cs="Calibri"/>
                        <w:color w:val="000000"/>
                        <w:sz w:val="20"/>
                      </w:rPr>
                    </w:pPr>
                    <w:r>
                      <w:rPr>
                        <w:rFonts w:cs="Calibri"/>
                        <w:color w:val="000000"/>
                        <w:sz w:val="20"/>
                      </w:rPr>
                      <w:t>Uso Interno</w:t>
                    </w:r>
                  </w:p>
                </w:txbxContent>
              </v:textbox>
              <w10:wrap anchorx="page" anchory="page"/>
            </v:shape>
          </w:pict>
        </mc:Fallback>
      </mc:AlternateContent>
    </w:r>
    <w:r w:rsidRPr="000F6DD2">
      <w:rPr>
        <w:rFonts w:ascii="Arial" w:hAnsi="Arial" w:cs="Arial"/>
        <w:b/>
        <w:bCs/>
        <w:noProof/>
        <w:color w:val="1B75BB"/>
        <w:lang w:val="en-US"/>
      </w:rPr>
      <w:fldChar w:fldCharType="begin"/>
    </w:r>
    <w:r w:rsidRPr="000F6DD2">
      <w:rPr>
        <w:rFonts w:ascii="Arial" w:hAnsi="Arial" w:cs="Arial"/>
        <w:b/>
        <w:bCs/>
        <w:noProof/>
        <w:color w:val="1B75BB"/>
        <w:lang w:val="en-US"/>
      </w:rPr>
      <w:instrText>PAGE   \* MERGEFORMAT</w:instrText>
    </w:r>
    <w:r w:rsidRPr="000F6DD2">
      <w:rPr>
        <w:rFonts w:ascii="Arial" w:hAnsi="Arial" w:cs="Arial"/>
        <w:b/>
        <w:bCs/>
        <w:noProof/>
        <w:color w:val="1B75BB"/>
        <w:lang w:val="en-US"/>
      </w:rPr>
      <w:fldChar w:fldCharType="separate"/>
    </w:r>
    <w:r>
      <w:rPr>
        <w:rFonts w:ascii="Arial" w:hAnsi="Arial" w:cs="Arial"/>
        <w:b/>
        <w:bCs/>
        <w:noProof/>
        <w:color w:val="1B75BB"/>
        <w:lang w:val="en-US"/>
      </w:rPr>
      <w:t>2</w:t>
    </w:r>
    <w:r w:rsidRPr="000F6DD2">
      <w:rPr>
        <w:rFonts w:ascii="Arial" w:hAnsi="Arial" w:cs="Arial"/>
        <w:b/>
        <w:bCs/>
        <w:noProof/>
        <w:color w:val="1B75BB"/>
        <w:lang w:val="en-US"/>
      </w:rPr>
      <w:fldChar w:fldCharType="end"/>
    </w:r>
    <w:r w:rsidRPr="000F6DD2">
      <w:rPr>
        <w:rFonts w:ascii="Arial" w:hAnsi="Arial" w:cs="Arial"/>
        <w:b/>
        <w:bCs/>
        <w:noProof/>
        <w:color w:val="1B75BB"/>
        <w:lang w:val="en-US"/>
      </w:rPr>
      <w:t xml:space="preserve"> |</w:t>
    </w:r>
    <w:r>
      <w:rPr>
        <w:b/>
        <w:bCs/>
      </w:rPr>
      <w:t xml:space="preserve"> </w:t>
    </w:r>
    <w:r w:rsidRPr="005E3760">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31F5" w14:textId="1011894B" w:rsidR="001042B2" w:rsidRDefault="001042B2">
    <w:pPr>
      <w:pStyle w:val="Piedepgina"/>
    </w:pPr>
    <w:r>
      <w:rPr>
        <w:noProof/>
      </w:rPr>
      <mc:AlternateContent>
        <mc:Choice Requires="wps">
          <w:drawing>
            <wp:anchor distT="0" distB="0" distL="114300" distR="114300" simplePos="0" relativeHeight="251665408" behindDoc="0" locked="0" layoutInCell="0" allowOverlap="1" wp14:anchorId="0BCCBF04" wp14:editId="6CF1DA17">
              <wp:simplePos x="0" y="0"/>
              <wp:positionH relativeFrom="page">
                <wp:posOffset>0</wp:posOffset>
              </wp:positionH>
              <wp:positionV relativeFrom="page">
                <wp:posOffset>9594215</wp:posOffset>
              </wp:positionV>
              <wp:extent cx="7772400" cy="273050"/>
              <wp:effectExtent l="0" t="0" r="0" b="12700"/>
              <wp:wrapNone/>
              <wp:docPr id="1" name="MSIPCM1ded4460a867fd26775d8c71"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7295C" w14:textId="25CF8BA1" w:rsidR="001042B2" w:rsidRPr="001042B2" w:rsidRDefault="001042B2" w:rsidP="001042B2">
                          <w:pPr>
                            <w:jc w:val="center"/>
                            <w:rPr>
                              <w:rFonts w:ascii="Calibri" w:hAnsi="Calibri" w:cs="Calibri"/>
                              <w:color w:val="000000"/>
                              <w:sz w:val="20"/>
                            </w:rPr>
                          </w:pPr>
                          <w:r w:rsidRPr="001042B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CCBF04" id="_x0000_t202" coordsize="21600,21600" o:spt="202" path="m,l,21600r21600,l21600,xe">
              <v:stroke joinstyle="miter"/>
              <v:path gradientshapeok="t" o:connecttype="rect"/>
            </v:shapetype>
            <v:shape id="MSIPCM1ded4460a867fd26775d8c71"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fill o:detectmouseclick="t"/>
              <v:textbox inset=",0,,0">
                <w:txbxContent>
                  <w:p w14:paraId="0B97295C" w14:textId="25CF8BA1" w:rsidR="001042B2" w:rsidRPr="001042B2" w:rsidRDefault="001042B2" w:rsidP="001042B2">
                    <w:pPr>
                      <w:jc w:val="center"/>
                      <w:rPr>
                        <w:rFonts w:ascii="Calibri" w:hAnsi="Calibri" w:cs="Calibri"/>
                        <w:color w:val="000000"/>
                        <w:sz w:val="20"/>
                      </w:rPr>
                    </w:pPr>
                    <w:r w:rsidRPr="001042B2">
                      <w:rPr>
                        <w:rFonts w:ascii="Calibri" w:hAnsi="Calibri" w:cs="Calibri"/>
                        <w:color w:val="000000"/>
                        <w:sz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15EB" w14:textId="77777777" w:rsidR="00605DCF" w:rsidRDefault="00605DCF" w:rsidP="00123BF7">
      <w:r>
        <w:separator/>
      </w:r>
    </w:p>
  </w:footnote>
  <w:footnote w:type="continuationSeparator" w:id="0">
    <w:p w14:paraId="73494374" w14:textId="77777777" w:rsidR="00605DCF" w:rsidRDefault="00605DCF" w:rsidP="00123BF7">
      <w:r>
        <w:continuationSeparator/>
      </w:r>
    </w:p>
  </w:footnote>
  <w:footnote w:id="1">
    <w:p w14:paraId="0B010B07" w14:textId="39E2DCC1" w:rsidR="00352CD5" w:rsidRPr="001A0AE2" w:rsidRDefault="00352CD5" w:rsidP="00352CD5">
      <w:pPr>
        <w:pStyle w:val="Textonotapie"/>
        <w:jc w:val="both"/>
        <w:rPr>
          <w:rFonts w:ascii="Arial" w:hAnsi="Arial" w:cs="Arial"/>
          <w:sz w:val="22"/>
          <w:szCs w:val="22"/>
        </w:rPr>
      </w:pPr>
      <w:r w:rsidRPr="001A0AE2">
        <w:rPr>
          <w:rStyle w:val="Refdenotaalpie"/>
          <w:rFonts w:ascii="Arial" w:hAnsi="Arial" w:cs="Arial"/>
        </w:rPr>
        <w:footnoteRef/>
      </w:r>
      <w:r w:rsidRPr="001A0AE2">
        <w:rPr>
          <w:rFonts w:ascii="Arial" w:hAnsi="Arial" w:cs="Arial"/>
        </w:rPr>
        <w:t xml:space="preserve"> Superintendencia General de Valores.  Despacho del Superintendente.  A las </w:t>
      </w:r>
      <w:r w:rsidR="00291B9C" w:rsidRPr="001A0AE2">
        <w:rPr>
          <w:rFonts w:ascii="Arial" w:hAnsi="Arial" w:cs="Arial"/>
        </w:rPr>
        <w:t>diez</w:t>
      </w:r>
      <w:r w:rsidRPr="001A0AE2">
        <w:rPr>
          <w:rFonts w:ascii="Arial" w:hAnsi="Arial" w:cs="Arial"/>
        </w:rPr>
        <w:t xml:space="preserve"> horas </w:t>
      </w:r>
      <w:r w:rsidR="00291B9C" w:rsidRPr="001A0AE2">
        <w:rPr>
          <w:rFonts w:ascii="Arial" w:hAnsi="Arial" w:cs="Arial"/>
        </w:rPr>
        <w:t xml:space="preserve">quince minutos </w:t>
      </w:r>
      <w:r w:rsidRPr="001A0AE2">
        <w:rPr>
          <w:rFonts w:ascii="Arial" w:hAnsi="Arial" w:cs="Arial"/>
        </w:rPr>
        <w:t xml:space="preserve">del </w:t>
      </w:r>
      <w:r w:rsidR="00291B9C" w:rsidRPr="001A0AE2">
        <w:rPr>
          <w:rFonts w:ascii="Arial" w:hAnsi="Arial" w:cs="Arial"/>
        </w:rPr>
        <w:t>cuatro</w:t>
      </w:r>
      <w:r w:rsidRPr="001A0AE2">
        <w:rPr>
          <w:rFonts w:ascii="Arial" w:hAnsi="Arial" w:cs="Arial"/>
        </w:rPr>
        <w:t xml:space="preserve"> de </w:t>
      </w:r>
      <w:r w:rsidR="00291B9C" w:rsidRPr="001A0AE2">
        <w:rPr>
          <w:rFonts w:ascii="Arial" w:hAnsi="Arial" w:cs="Arial"/>
        </w:rPr>
        <w:t>julio</w:t>
      </w:r>
      <w:r w:rsidRPr="001A0AE2">
        <w:rPr>
          <w:rFonts w:ascii="Arial" w:hAnsi="Arial" w:cs="Arial"/>
        </w:rPr>
        <w:t xml:space="preserve"> del dos mil veintitrés.</w:t>
      </w:r>
      <w:r w:rsidR="001042B2" w:rsidRPr="001042B2">
        <w:rPr>
          <w:rFonts w:ascii="Arial" w:hAnsi="Arial" w:cs="Arial"/>
        </w:rPr>
        <w:t xml:space="preserve"> </w:t>
      </w:r>
      <w:r w:rsidR="001042B2" w:rsidRPr="00C45AC5">
        <w:rPr>
          <w:rFonts w:ascii="Arial" w:hAnsi="Arial" w:cs="Arial"/>
        </w:rPr>
        <w:t xml:space="preserve">Publicado en el Diario Oficial La Gaceta No. </w:t>
      </w:r>
      <w:r w:rsidR="001042B2">
        <w:rPr>
          <w:rFonts w:ascii="Arial" w:hAnsi="Arial" w:cs="Arial"/>
        </w:rPr>
        <w:t>128</w:t>
      </w:r>
      <w:r w:rsidR="001042B2" w:rsidRPr="00C45AC5">
        <w:rPr>
          <w:rFonts w:ascii="Arial" w:hAnsi="Arial" w:cs="Arial"/>
        </w:rPr>
        <w:t xml:space="preserve"> del </w:t>
      </w:r>
      <w:r w:rsidR="001042B2">
        <w:rPr>
          <w:rFonts w:ascii="Arial" w:hAnsi="Arial" w:cs="Arial"/>
        </w:rPr>
        <w:t>14 de julio del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9E9A" w14:textId="77777777" w:rsidR="001042B2" w:rsidRDefault="001042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726E" w14:textId="77777777" w:rsidR="00A71E76" w:rsidRDefault="00A71E76" w:rsidP="00A71E76">
    <w:pPr>
      <w:pStyle w:val="Encabezado"/>
      <w:jc w:val="right"/>
      <w:rPr>
        <w:rFonts w:cs="Arial"/>
        <w:i/>
        <w:noProof/>
        <w:sz w:val="20"/>
        <w:szCs w:val="20"/>
        <w:lang w:eastAsia="es-CR"/>
      </w:rPr>
    </w:pPr>
    <w:r>
      <w:rPr>
        <w:noProof/>
      </w:rPr>
      <mc:AlternateContent>
        <mc:Choice Requires="wps">
          <w:drawing>
            <wp:anchor distT="4294967292" distB="4294967292" distL="114300" distR="114300" simplePos="0" relativeHeight="251662336" behindDoc="0" locked="0" layoutInCell="1" allowOverlap="1" wp14:anchorId="036D828C" wp14:editId="1B35DD9F">
              <wp:simplePos x="0" y="0"/>
              <wp:positionH relativeFrom="margin">
                <wp:align>right</wp:align>
              </wp:positionH>
              <wp:positionV relativeFrom="paragraph">
                <wp:posOffset>401320</wp:posOffset>
              </wp:positionV>
              <wp:extent cx="5588000" cy="12700"/>
              <wp:effectExtent l="0" t="0" r="31750" b="254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1270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E0A4" id="Conector recto 5" o:spid="_x0000_s1026" style="position:absolute;z-index:251662336;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8.8pt,31.6pt" to="828.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" strokecolor="#1b75bb" strokeweight="1.5pt">
              <w10:wrap anchorx="margin"/>
            </v:line>
          </w:pict>
        </mc:Fallback>
      </mc:AlternateContent>
    </w:r>
    <w:r w:rsidRPr="00AC6C0D">
      <w:rPr>
        <w:rFonts w:cs="Arial"/>
        <w:i/>
        <w:noProof/>
        <w:sz w:val="20"/>
        <w:szCs w:val="20"/>
        <w:lang w:eastAsia="es-CR"/>
      </w:rPr>
      <w:drawing>
        <wp:inline distT="0" distB="0" distL="0" distR="0" wp14:anchorId="7C83EF67" wp14:editId="6C845008">
          <wp:extent cx="1581150" cy="390525"/>
          <wp:effectExtent l="0" t="0" r="0" b="9525"/>
          <wp:docPr id="3" name="Imagen 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1B4B0EF2" w14:textId="09262333" w:rsidR="00BF6B72" w:rsidRDefault="00BF6B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F0F0" w14:textId="77777777" w:rsidR="001042B2" w:rsidRDefault="00104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039"/>
    <w:multiLevelType w:val="hybridMultilevel"/>
    <w:tmpl w:val="0B5E6D72"/>
    <w:lvl w:ilvl="0" w:tplc="140A0001">
      <w:start w:val="1"/>
      <w:numFmt w:val="bullet"/>
      <w:lvlText w:val=""/>
      <w:lvlJc w:val="left"/>
      <w:pPr>
        <w:ind w:left="2704" w:hanging="360"/>
      </w:pPr>
      <w:rPr>
        <w:rFonts w:ascii="Symbol" w:hAnsi="Symbol" w:hint="default"/>
      </w:rPr>
    </w:lvl>
    <w:lvl w:ilvl="1" w:tplc="140A0003" w:tentative="1">
      <w:start w:val="1"/>
      <w:numFmt w:val="bullet"/>
      <w:lvlText w:val="o"/>
      <w:lvlJc w:val="left"/>
      <w:pPr>
        <w:ind w:left="3424" w:hanging="360"/>
      </w:pPr>
      <w:rPr>
        <w:rFonts w:ascii="Courier New" w:hAnsi="Courier New" w:cs="Courier New" w:hint="default"/>
      </w:rPr>
    </w:lvl>
    <w:lvl w:ilvl="2" w:tplc="140A0005" w:tentative="1">
      <w:start w:val="1"/>
      <w:numFmt w:val="bullet"/>
      <w:lvlText w:val=""/>
      <w:lvlJc w:val="left"/>
      <w:pPr>
        <w:ind w:left="4144" w:hanging="360"/>
      </w:pPr>
      <w:rPr>
        <w:rFonts w:ascii="Wingdings" w:hAnsi="Wingdings" w:hint="default"/>
      </w:rPr>
    </w:lvl>
    <w:lvl w:ilvl="3" w:tplc="140A0001" w:tentative="1">
      <w:start w:val="1"/>
      <w:numFmt w:val="bullet"/>
      <w:lvlText w:val=""/>
      <w:lvlJc w:val="left"/>
      <w:pPr>
        <w:ind w:left="4864" w:hanging="360"/>
      </w:pPr>
      <w:rPr>
        <w:rFonts w:ascii="Symbol" w:hAnsi="Symbol" w:hint="default"/>
      </w:rPr>
    </w:lvl>
    <w:lvl w:ilvl="4" w:tplc="140A0003" w:tentative="1">
      <w:start w:val="1"/>
      <w:numFmt w:val="bullet"/>
      <w:lvlText w:val="o"/>
      <w:lvlJc w:val="left"/>
      <w:pPr>
        <w:ind w:left="5584" w:hanging="360"/>
      </w:pPr>
      <w:rPr>
        <w:rFonts w:ascii="Courier New" w:hAnsi="Courier New" w:cs="Courier New" w:hint="default"/>
      </w:rPr>
    </w:lvl>
    <w:lvl w:ilvl="5" w:tplc="140A0005" w:tentative="1">
      <w:start w:val="1"/>
      <w:numFmt w:val="bullet"/>
      <w:lvlText w:val=""/>
      <w:lvlJc w:val="left"/>
      <w:pPr>
        <w:ind w:left="6304" w:hanging="360"/>
      </w:pPr>
      <w:rPr>
        <w:rFonts w:ascii="Wingdings" w:hAnsi="Wingdings" w:hint="default"/>
      </w:rPr>
    </w:lvl>
    <w:lvl w:ilvl="6" w:tplc="140A0001" w:tentative="1">
      <w:start w:val="1"/>
      <w:numFmt w:val="bullet"/>
      <w:lvlText w:val=""/>
      <w:lvlJc w:val="left"/>
      <w:pPr>
        <w:ind w:left="7024" w:hanging="360"/>
      </w:pPr>
      <w:rPr>
        <w:rFonts w:ascii="Symbol" w:hAnsi="Symbol" w:hint="default"/>
      </w:rPr>
    </w:lvl>
    <w:lvl w:ilvl="7" w:tplc="140A0003" w:tentative="1">
      <w:start w:val="1"/>
      <w:numFmt w:val="bullet"/>
      <w:lvlText w:val="o"/>
      <w:lvlJc w:val="left"/>
      <w:pPr>
        <w:ind w:left="7744" w:hanging="360"/>
      </w:pPr>
      <w:rPr>
        <w:rFonts w:ascii="Courier New" w:hAnsi="Courier New" w:cs="Courier New" w:hint="default"/>
      </w:rPr>
    </w:lvl>
    <w:lvl w:ilvl="8" w:tplc="140A0005" w:tentative="1">
      <w:start w:val="1"/>
      <w:numFmt w:val="bullet"/>
      <w:lvlText w:val=""/>
      <w:lvlJc w:val="left"/>
      <w:pPr>
        <w:ind w:left="8464" w:hanging="360"/>
      </w:pPr>
      <w:rPr>
        <w:rFonts w:ascii="Wingdings" w:hAnsi="Wingdings" w:hint="default"/>
      </w:rPr>
    </w:lvl>
  </w:abstractNum>
  <w:abstractNum w:abstractNumId="1"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51DF3"/>
    <w:multiLevelType w:val="hybridMultilevel"/>
    <w:tmpl w:val="569632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3E76D4B"/>
    <w:multiLevelType w:val="hybridMultilevel"/>
    <w:tmpl w:val="28222946"/>
    <w:lvl w:ilvl="0" w:tplc="D40A2CA4">
      <w:start w:val="1"/>
      <w:numFmt w:val="lowerLetter"/>
      <w:lvlText w:val="%1)"/>
      <w:lvlJc w:val="left"/>
      <w:pPr>
        <w:ind w:left="1211"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57B7CF3"/>
    <w:multiLevelType w:val="hybridMultilevel"/>
    <w:tmpl w:val="3A3C8A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7E5090D"/>
    <w:multiLevelType w:val="hybridMultilevel"/>
    <w:tmpl w:val="3D541BC2"/>
    <w:lvl w:ilvl="0" w:tplc="63F2945C">
      <w:start w:val="1"/>
      <w:numFmt w:val="lowerLetter"/>
      <w:lvlText w:val="%1."/>
      <w:lvlJc w:val="left"/>
      <w:pPr>
        <w:ind w:left="1276" w:hanging="708"/>
      </w:pPr>
      <w:rPr>
        <w:rFonts w:hint="default"/>
        <w:strike w:val="0"/>
        <w:spacing w:val="-2"/>
        <w:w w:val="100"/>
        <w:sz w:val="22"/>
        <w:szCs w:val="22"/>
      </w:rPr>
    </w:lvl>
    <w:lvl w:ilvl="1" w:tplc="04090019">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6" w15:restartNumberingAfterBreak="0">
    <w:nsid w:val="396225AF"/>
    <w:multiLevelType w:val="hybridMultilevel"/>
    <w:tmpl w:val="5FB2B586"/>
    <w:lvl w:ilvl="0" w:tplc="28687AF8">
      <w:start w:val="1"/>
      <w:numFmt w:val="decimal"/>
      <w:lvlText w:val="Artículo %1."/>
      <w:lvlJc w:val="left"/>
      <w:pPr>
        <w:ind w:left="3763"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3307E1"/>
    <w:multiLevelType w:val="hybridMultilevel"/>
    <w:tmpl w:val="DBDE65DA"/>
    <w:lvl w:ilvl="0" w:tplc="140A001B">
      <w:start w:val="1"/>
      <w:numFmt w:val="lowerRoman"/>
      <w:lvlText w:val="%1."/>
      <w:lvlJc w:val="right"/>
      <w:pPr>
        <w:ind w:left="1776" w:hanging="360"/>
      </w:pPr>
      <w:rPr>
        <w:rFonts w:hint="default"/>
        <w:b w:val="0"/>
        <w:bCs/>
      </w:rPr>
    </w:lvl>
    <w:lvl w:ilvl="1" w:tplc="140A0019" w:tentative="1">
      <w:start w:val="1"/>
      <w:numFmt w:val="lowerLetter"/>
      <w:lvlText w:val="%2."/>
      <w:lvlJc w:val="left"/>
      <w:pPr>
        <w:ind w:left="2005" w:hanging="360"/>
      </w:pPr>
    </w:lvl>
    <w:lvl w:ilvl="2" w:tplc="140A001B" w:tentative="1">
      <w:start w:val="1"/>
      <w:numFmt w:val="lowerRoman"/>
      <w:lvlText w:val="%3."/>
      <w:lvlJc w:val="right"/>
      <w:pPr>
        <w:ind w:left="2725" w:hanging="180"/>
      </w:pPr>
    </w:lvl>
    <w:lvl w:ilvl="3" w:tplc="140A000F" w:tentative="1">
      <w:start w:val="1"/>
      <w:numFmt w:val="decimal"/>
      <w:lvlText w:val="%4."/>
      <w:lvlJc w:val="left"/>
      <w:pPr>
        <w:ind w:left="3445" w:hanging="360"/>
      </w:pPr>
    </w:lvl>
    <w:lvl w:ilvl="4" w:tplc="140A0019" w:tentative="1">
      <w:start w:val="1"/>
      <w:numFmt w:val="lowerLetter"/>
      <w:lvlText w:val="%5."/>
      <w:lvlJc w:val="left"/>
      <w:pPr>
        <w:ind w:left="4165" w:hanging="360"/>
      </w:pPr>
    </w:lvl>
    <w:lvl w:ilvl="5" w:tplc="140A001B" w:tentative="1">
      <w:start w:val="1"/>
      <w:numFmt w:val="lowerRoman"/>
      <w:lvlText w:val="%6."/>
      <w:lvlJc w:val="right"/>
      <w:pPr>
        <w:ind w:left="4885" w:hanging="180"/>
      </w:pPr>
    </w:lvl>
    <w:lvl w:ilvl="6" w:tplc="140A000F" w:tentative="1">
      <w:start w:val="1"/>
      <w:numFmt w:val="decimal"/>
      <w:lvlText w:val="%7."/>
      <w:lvlJc w:val="left"/>
      <w:pPr>
        <w:ind w:left="5605" w:hanging="360"/>
      </w:pPr>
    </w:lvl>
    <w:lvl w:ilvl="7" w:tplc="140A0019" w:tentative="1">
      <w:start w:val="1"/>
      <w:numFmt w:val="lowerLetter"/>
      <w:lvlText w:val="%8."/>
      <w:lvlJc w:val="left"/>
      <w:pPr>
        <w:ind w:left="6325" w:hanging="360"/>
      </w:pPr>
    </w:lvl>
    <w:lvl w:ilvl="8" w:tplc="140A001B" w:tentative="1">
      <w:start w:val="1"/>
      <w:numFmt w:val="lowerRoman"/>
      <w:lvlText w:val="%9."/>
      <w:lvlJc w:val="right"/>
      <w:pPr>
        <w:ind w:left="7045" w:hanging="180"/>
      </w:pPr>
    </w:lvl>
  </w:abstractNum>
  <w:abstractNum w:abstractNumId="8" w15:restartNumberingAfterBreak="0">
    <w:nsid w:val="3DC45179"/>
    <w:multiLevelType w:val="hybridMultilevel"/>
    <w:tmpl w:val="35BCD488"/>
    <w:lvl w:ilvl="0" w:tplc="E38AD4A8">
      <w:start w:val="1"/>
      <w:numFmt w:val="bullet"/>
      <w:pStyle w:val="Ttulo1"/>
      <w:lvlText w:val=""/>
      <w:lvlJc w:val="left"/>
      <w:pPr>
        <w:ind w:left="720" w:hanging="360"/>
      </w:pPr>
      <w:rPr>
        <w:rFonts w:ascii="Wingdings" w:hAnsi="Wingdings" w:hint="default"/>
        <w:color w:val="80808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C4C50FB"/>
    <w:multiLevelType w:val="hybridMultilevel"/>
    <w:tmpl w:val="28222946"/>
    <w:lvl w:ilvl="0" w:tplc="D40A2CA4">
      <w:start w:val="1"/>
      <w:numFmt w:val="lowerLetter"/>
      <w:lvlText w:val="%1)"/>
      <w:lvlJc w:val="left"/>
      <w:pPr>
        <w:ind w:left="1211"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5C07DBB"/>
    <w:multiLevelType w:val="hybridMultilevel"/>
    <w:tmpl w:val="771629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677774F"/>
    <w:multiLevelType w:val="hybridMultilevel"/>
    <w:tmpl w:val="B158306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92B32DD"/>
    <w:multiLevelType w:val="hybridMultilevel"/>
    <w:tmpl w:val="2FE4939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20006551">
    <w:abstractNumId w:val="1"/>
  </w:num>
  <w:num w:numId="2" w16cid:durableId="698431599">
    <w:abstractNumId w:val="8"/>
  </w:num>
  <w:num w:numId="3" w16cid:durableId="166869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026102">
    <w:abstractNumId w:val="6"/>
  </w:num>
  <w:num w:numId="5" w16cid:durableId="734551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1324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7503890">
    <w:abstractNumId w:val="5"/>
  </w:num>
  <w:num w:numId="8" w16cid:durableId="137191707">
    <w:abstractNumId w:val="1"/>
  </w:num>
  <w:num w:numId="9" w16cid:durableId="27995618">
    <w:abstractNumId w:val="3"/>
  </w:num>
  <w:num w:numId="10" w16cid:durableId="205919900">
    <w:abstractNumId w:val="1"/>
  </w:num>
  <w:num w:numId="11" w16cid:durableId="234361589">
    <w:abstractNumId w:val="1"/>
  </w:num>
  <w:num w:numId="12" w16cid:durableId="1875187966">
    <w:abstractNumId w:val="0"/>
  </w:num>
  <w:num w:numId="13" w16cid:durableId="2093383144">
    <w:abstractNumId w:val="12"/>
  </w:num>
  <w:num w:numId="14" w16cid:durableId="1747220203">
    <w:abstractNumId w:val="13"/>
  </w:num>
  <w:num w:numId="15" w16cid:durableId="103967374">
    <w:abstractNumId w:val="11"/>
  </w:num>
  <w:num w:numId="16" w16cid:durableId="1944067656">
    <w:abstractNumId w:val="10"/>
  </w:num>
  <w:num w:numId="17" w16cid:durableId="888107325">
    <w:abstractNumId w:val="7"/>
  </w:num>
  <w:num w:numId="18" w16cid:durableId="2110541915">
    <w:abstractNumId w:val="2"/>
  </w:num>
  <w:num w:numId="19" w16cid:durableId="892733105">
    <w:abstractNumId w:val="1"/>
  </w:num>
  <w:num w:numId="20" w16cid:durableId="192931520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F7"/>
    <w:rsid w:val="00003E4F"/>
    <w:rsid w:val="00014B4D"/>
    <w:rsid w:val="0002371C"/>
    <w:rsid w:val="00027878"/>
    <w:rsid w:val="000335C5"/>
    <w:rsid w:val="000408FA"/>
    <w:rsid w:val="00047897"/>
    <w:rsid w:val="0005177E"/>
    <w:rsid w:val="0006589A"/>
    <w:rsid w:val="00080A9E"/>
    <w:rsid w:val="00081096"/>
    <w:rsid w:val="00086131"/>
    <w:rsid w:val="00090428"/>
    <w:rsid w:val="000B4E6F"/>
    <w:rsid w:val="000B6A2C"/>
    <w:rsid w:val="000D2215"/>
    <w:rsid w:val="000D5569"/>
    <w:rsid w:val="000F1590"/>
    <w:rsid w:val="001033CE"/>
    <w:rsid w:val="001042B2"/>
    <w:rsid w:val="0010578C"/>
    <w:rsid w:val="00107D8A"/>
    <w:rsid w:val="00116C9C"/>
    <w:rsid w:val="00123BF7"/>
    <w:rsid w:val="00126E34"/>
    <w:rsid w:val="0013726F"/>
    <w:rsid w:val="0014513B"/>
    <w:rsid w:val="00156573"/>
    <w:rsid w:val="00197AA8"/>
    <w:rsid w:val="001A06BA"/>
    <w:rsid w:val="001A0AE2"/>
    <w:rsid w:val="001A3778"/>
    <w:rsid w:val="001A4FA4"/>
    <w:rsid w:val="001A664B"/>
    <w:rsid w:val="001B4DC1"/>
    <w:rsid w:val="001D3773"/>
    <w:rsid w:val="001D3A2A"/>
    <w:rsid w:val="001E5B9A"/>
    <w:rsid w:val="001F1D74"/>
    <w:rsid w:val="001F372B"/>
    <w:rsid w:val="002011ED"/>
    <w:rsid w:val="00214288"/>
    <w:rsid w:val="002229A6"/>
    <w:rsid w:val="002479E0"/>
    <w:rsid w:val="002520F8"/>
    <w:rsid w:val="00266C77"/>
    <w:rsid w:val="0028775B"/>
    <w:rsid w:val="00291B9C"/>
    <w:rsid w:val="002B5AB9"/>
    <w:rsid w:val="002C46A1"/>
    <w:rsid w:val="002D35F6"/>
    <w:rsid w:val="002D492C"/>
    <w:rsid w:val="00307708"/>
    <w:rsid w:val="003159D1"/>
    <w:rsid w:val="00333136"/>
    <w:rsid w:val="00341C8A"/>
    <w:rsid w:val="0034309C"/>
    <w:rsid w:val="00347723"/>
    <w:rsid w:val="00352CD5"/>
    <w:rsid w:val="0036551B"/>
    <w:rsid w:val="00370D06"/>
    <w:rsid w:val="00376789"/>
    <w:rsid w:val="00390673"/>
    <w:rsid w:val="003975BB"/>
    <w:rsid w:val="003B24F9"/>
    <w:rsid w:val="003C2745"/>
    <w:rsid w:val="003D52B1"/>
    <w:rsid w:val="003E5102"/>
    <w:rsid w:val="003F34C1"/>
    <w:rsid w:val="00401FCB"/>
    <w:rsid w:val="00417908"/>
    <w:rsid w:val="00422CE6"/>
    <w:rsid w:val="0042418E"/>
    <w:rsid w:val="00434B93"/>
    <w:rsid w:val="004464D6"/>
    <w:rsid w:val="0045536E"/>
    <w:rsid w:val="004721DE"/>
    <w:rsid w:val="00474FC2"/>
    <w:rsid w:val="004750E7"/>
    <w:rsid w:val="004931CA"/>
    <w:rsid w:val="004A0B0C"/>
    <w:rsid w:val="004A0C86"/>
    <w:rsid w:val="004A22D2"/>
    <w:rsid w:val="004B5A35"/>
    <w:rsid w:val="004D6F59"/>
    <w:rsid w:val="004E0468"/>
    <w:rsid w:val="004E3EBA"/>
    <w:rsid w:val="004E436C"/>
    <w:rsid w:val="004E671C"/>
    <w:rsid w:val="004E7E40"/>
    <w:rsid w:val="004F2AD9"/>
    <w:rsid w:val="004F2F03"/>
    <w:rsid w:val="004F5B30"/>
    <w:rsid w:val="004F7F92"/>
    <w:rsid w:val="0050501A"/>
    <w:rsid w:val="00511EF7"/>
    <w:rsid w:val="00526E03"/>
    <w:rsid w:val="005371F5"/>
    <w:rsid w:val="005526E1"/>
    <w:rsid w:val="00587788"/>
    <w:rsid w:val="005B0DDE"/>
    <w:rsid w:val="005D79F2"/>
    <w:rsid w:val="005E1CD5"/>
    <w:rsid w:val="00604199"/>
    <w:rsid w:val="00605DCF"/>
    <w:rsid w:val="00611862"/>
    <w:rsid w:val="0061242C"/>
    <w:rsid w:val="00615854"/>
    <w:rsid w:val="006324A8"/>
    <w:rsid w:val="006344A4"/>
    <w:rsid w:val="0066063C"/>
    <w:rsid w:val="00685BAF"/>
    <w:rsid w:val="006B42EB"/>
    <w:rsid w:val="006B6111"/>
    <w:rsid w:val="006E31C2"/>
    <w:rsid w:val="006E3205"/>
    <w:rsid w:val="006E470C"/>
    <w:rsid w:val="006F0048"/>
    <w:rsid w:val="006F0E92"/>
    <w:rsid w:val="00710D22"/>
    <w:rsid w:val="00713A27"/>
    <w:rsid w:val="00715E8B"/>
    <w:rsid w:val="007167E6"/>
    <w:rsid w:val="0072529E"/>
    <w:rsid w:val="00727749"/>
    <w:rsid w:val="00734AD7"/>
    <w:rsid w:val="00735F5B"/>
    <w:rsid w:val="0073779F"/>
    <w:rsid w:val="0074398C"/>
    <w:rsid w:val="007635AE"/>
    <w:rsid w:val="00771052"/>
    <w:rsid w:val="00774AF4"/>
    <w:rsid w:val="00784661"/>
    <w:rsid w:val="007B3D2C"/>
    <w:rsid w:val="007C4154"/>
    <w:rsid w:val="008058A9"/>
    <w:rsid w:val="00824EC2"/>
    <w:rsid w:val="0083442C"/>
    <w:rsid w:val="00845D79"/>
    <w:rsid w:val="00857663"/>
    <w:rsid w:val="00857DD9"/>
    <w:rsid w:val="00874D10"/>
    <w:rsid w:val="00893DB0"/>
    <w:rsid w:val="008A554A"/>
    <w:rsid w:val="008D00D7"/>
    <w:rsid w:val="008D252A"/>
    <w:rsid w:val="008D57BF"/>
    <w:rsid w:val="008E0189"/>
    <w:rsid w:val="00911E98"/>
    <w:rsid w:val="00915B74"/>
    <w:rsid w:val="00925C4D"/>
    <w:rsid w:val="00926AD1"/>
    <w:rsid w:val="00927E5F"/>
    <w:rsid w:val="00930C63"/>
    <w:rsid w:val="00943EF5"/>
    <w:rsid w:val="009546ED"/>
    <w:rsid w:val="00957AE6"/>
    <w:rsid w:val="0097371E"/>
    <w:rsid w:val="009A2C39"/>
    <w:rsid w:val="009A40A7"/>
    <w:rsid w:val="009B3650"/>
    <w:rsid w:val="009B3EF2"/>
    <w:rsid w:val="009C699D"/>
    <w:rsid w:val="00A03C27"/>
    <w:rsid w:val="00A24C1F"/>
    <w:rsid w:val="00A34A21"/>
    <w:rsid w:val="00A37493"/>
    <w:rsid w:val="00A40E33"/>
    <w:rsid w:val="00A428E5"/>
    <w:rsid w:val="00A5451B"/>
    <w:rsid w:val="00A61745"/>
    <w:rsid w:val="00A64F2E"/>
    <w:rsid w:val="00A71E76"/>
    <w:rsid w:val="00A7255D"/>
    <w:rsid w:val="00A8045D"/>
    <w:rsid w:val="00A83D1F"/>
    <w:rsid w:val="00AA411F"/>
    <w:rsid w:val="00AC198E"/>
    <w:rsid w:val="00AE7223"/>
    <w:rsid w:val="00AF4272"/>
    <w:rsid w:val="00B00A6D"/>
    <w:rsid w:val="00B24964"/>
    <w:rsid w:val="00B33B54"/>
    <w:rsid w:val="00B34206"/>
    <w:rsid w:val="00B419EF"/>
    <w:rsid w:val="00B44B2C"/>
    <w:rsid w:val="00B614F9"/>
    <w:rsid w:val="00B762CF"/>
    <w:rsid w:val="00B84EB2"/>
    <w:rsid w:val="00B8623E"/>
    <w:rsid w:val="00B9394D"/>
    <w:rsid w:val="00BB3BE0"/>
    <w:rsid w:val="00BB496C"/>
    <w:rsid w:val="00BC582F"/>
    <w:rsid w:val="00BE4025"/>
    <w:rsid w:val="00BE4793"/>
    <w:rsid w:val="00BE739D"/>
    <w:rsid w:val="00BF2C48"/>
    <w:rsid w:val="00BF6B72"/>
    <w:rsid w:val="00C0765F"/>
    <w:rsid w:val="00C259A3"/>
    <w:rsid w:val="00C34B0A"/>
    <w:rsid w:val="00C4182F"/>
    <w:rsid w:val="00C45BAD"/>
    <w:rsid w:val="00C658C4"/>
    <w:rsid w:val="00C65B46"/>
    <w:rsid w:val="00C85F18"/>
    <w:rsid w:val="00C939B1"/>
    <w:rsid w:val="00CA148D"/>
    <w:rsid w:val="00CB4618"/>
    <w:rsid w:val="00CD6479"/>
    <w:rsid w:val="00D02FF2"/>
    <w:rsid w:val="00D1699A"/>
    <w:rsid w:val="00D221CB"/>
    <w:rsid w:val="00D30197"/>
    <w:rsid w:val="00D301A3"/>
    <w:rsid w:val="00D44681"/>
    <w:rsid w:val="00D467DC"/>
    <w:rsid w:val="00D46D1F"/>
    <w:rsid w:val="00D62784"/>
    <w:rsid w:val="00D6785C"/>
    <w:rsid w:val="00D85407"/>
    <w:rsid w:val="00D93053"/>
    <w:rsid w:val="00D94E04"/>
    <w:rsid w:val="00D951D4"/>
    <w:rsid w:val="00D96330"/>
    <w:rsid w:val="00DA1547"/>
    <w:rsid w:val="00DB5F62"/>
    <w:rsid w:val="00DB653D"/>
    <w:rsid w:val="00DB6C88"/>
    <w:rsid w:val="00DE677C"/>
    <w:rsid w:val="00E14E20"/>
    <w:rsid w:val="00E208FB"/>
    <w:rsid w:val="00E24E36"/>
    <w:rsid w:val="00E34FB9"/>
    <w:rsid w:val="00E352DA"/>
    <w:rsid w:val="00E4084B"/>
    <w:rsid w:val="00E436CA"/>
    <w:rsid w:val="00E57EDD"/>
    <w:rsid w:val="00E67FE9"/>
    <w:rsid w:val="00E7094D"/>
    <w:rsid w:val="00E73564"/>
    <w:rsid w:val="00EB0E3A"/>
    <w:rsid w:val="00EC076A"/>
    <w:rsid w:val="00ED1A6D"/>
    <w:rsid w:val="00ED4EC0"/>
    <w:rsid w:val="00EE330C"/>
    <w:rsid w:val="00EE3BD9"/>
    <w:rsid w:val="00EE5BE9"/>
    <w:rsid w:val="00EF12A5"/>
    <w:rsid w:val="00F12886"/>
    <w:rsid w:val="00F14D96"/>
    <w:rsid w:val="00F32280"/>
    <w:rsid w:val="00F50C1C"/>
    <w:rsid w:val="00F628A6"/>
    <w:rsid w:val="00F72B2D"/>
    <w:rsid w:val="00F75F8F"/>
    <w:rsid w:val="00F7664B"/>
    <w:rsid w:val="00F81197"/>
    <w:rsid w:val="00FA7E8B"/>
    <w:rsid w:val="00FB3B54"/>
    <w:rsid w:val="00FB4BC6"/>
    <w:rsid w:val="00FD5A17"/>
    <w:rsid w:val="00FF41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A3CE"/>
  <w15:chartTrackingRefBased/>
  <w15:docId w15:val="{9497C74E-422C-4208-9124-3EF87E6B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F7"/>
    <w:pPr>
      <w:spacing w:after="0" w:line="240" w:lineRule="auto"/>
    </w:pPr>
    <w:rPr>
      <w:rFonts w:ascii="Arial Narrow" w:eastAsia="Times New Roman" w:hAnsi="Arial Narrow" w:cs="Times New Roman"/>
      <w:szCs w:val="24"/>
      <w:lang w:eastAsia="es-ES"/>
    </w:rPr>
  </w:style>
  <w:style w:type="paragraph" w:styleId="Ttulo1">
    <w:name w:val="heading 1"/>
    <w:basedOn w:val="Normal"/>
    <w:next w:val="Normal"/>
    <w:link w:val="Ttulo1Car"/>
    <w:qFormat/>
    <w:rsid w:val="00BC582F"/>
    <w:pPr>
      <w:keepNext/>
      <w:numPr>
        <w:numId w:val="2"/>
      </w:numPr>
      <w:jc w:val="both"/>
      <w:outlineLvl w:val="0"/>
    </w:pPr>
    <w:rPr>
      <w:rFonts w:ascii="Century Gothic" w:hAnsi="Century Gothic"/>
      <w:b/>
      <w:sz w:val="20"/>
      <w:szCs w:val="20"/>
    </w:rPr>
  </w:style>
  <w:style w:type="paragraph" w:styleId="Ttulo2">
    <w:name w:val="heading 2"/>
    <w:basedOn w:val="Normal"/>
    <w:next w:val="Normal"/>
    <w:link w:val="Ttulo2Car"/>
    <w:uiPriority w:val="9"/>
    <w:unhideWhenUsed/>
    <w:qFormat/>
    <w:rsid w:val="000237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123BF7"/>
    <w:pPr>
      <w:ind w:left="720"/>
    </w:pPr>
  </w:style>
  <w:style w:type="paragraph" w:styleId="Ttulo">
    <w:name w:val="Title"/>
    <w:basedOn w:val="Normal"/>
    <w:link w:val="TtuloCar"/>
    <w:qFormat/>
    <w:rsid w:val="00123BF7"/>
    <w:pPr>
      <w:widowControl w:val="0"/>
      <w:jc w:val="center"/>
      <w:outlineLvl w:val="0"/>
    </w:pPr>
    <w:rPr>
      <w:rFonts w:ascii="Arial" w:hAnsi="Arial"/>
      <w:b/>
      <w:i/>
      <w:sz w:val="24"/>
      <w:lang w:eastAsia="en-US"/>
    </w:rPr>
  </w:style>
  <w:style w:type="character" w:customStyle="1" w:styleId="TtuloCar">
    <w:name w:val="Título Car"/>
    <w:basedOn w:val="Fuentedeprrafopredeter"/>
    <w:link w:val="Ttulo"/>
    <w:rsid w:val="00123BF7"/>
    <w:rPr>
      <w:rFonts w:ascii="Arial" w:eastAsia="Times New Roman" w:hAnsi="Arial" w:cs="Times New Roman"/>
      <w:b/>
      <w:i/>
      <w:sz w:val="24"/>
      <w:szCs w:val="24"/>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iPriority w:val="99"/>
    <w:unhideWhenUsed/>
    <w:rsid w:val="00123BF7"/>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123BF7"/>
    <w:rPr>
      <w:rFonts w:ascii="Arial Narrow" w:eastAsia="Times New Roman" w:hAnsi="Arial Narrow" w:cs="Times New Roman"/>
      <w:sz w:val="20"/>
      <w:szCs w:val="20"/>
      <w:lang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unhideWhenUsed/>
    <w:qFormat/>
    <w:rsid w:val="00123BF7"/>
    <w:rPr>
      <w:vertAlign w:val="superscript"/>
    </w:rPr>
  </w:style>
  <w:style w:type="paragraph" w:styleId="Textodeglobo">
    <w:name w:val="Balloon Text"/>
    <w:basedOn w:val="Normal"/>
    <w:link w:val="TextodegloboCar"/>
    <w:uiPriority w:val="99"/>
    <w:semiHidden/>
    <w:unhideWhenUsed/>
    <w:rsid w:val="00A545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51B"/>
    <w:rPr>
      <w:rFonts w:ascii="Segoe UI" w:eastAsia="Times New Roman" w:hAnsi="Segoe UI" w:cs="Segoe UI"/>
      <w:sz w:val="18"/>
      <w:szCs w:val="18"/>
      <w:lang w:eastAsia="es-ES"/>
    </w:rPr>
  </w:style>
  <w:style w:type="paragraph" w:customStyle="1" w:styleId="Numeracin">
    <w:name w:val="Numeración"/>
    <w:basedOn w:val="Normal"/>
    <w:link w:val="NumeracinChar"/>
    <w:qFormat/>
    <w:rsid w:val="00A5451B"/>
    <w:pPr>
      <w:numPr>
        <w:numId w:val="1"/>
      </w:numPr>
      <w:spacing w:before="120"/>
      <w:jc w:val="both"/>
    </w:pPr>
    <w:rPr>
      <w:rFonts w:ascii="Times New Roman" w:hAnsi="Times New Roman"/>
      <w:lang w:val="es-ES"/>
    </w:rPr>
  </w:style>
  <w:style w:type="character" w:customStyle="1" w:styleId="NumeracinChar">
    <w:name w:val="Numeración Char"/>
    <w:link w:val="Numeracin"/>
    <w:rsid w:val="00A5451B"/>
    <w:rPr>
      <w:rFonts w:ascii="Times New Roman" w:eastAsia="Times New Roman" w:hAnsi="Times New Roman" w:cs="Times New Roman"/>
      <w:szCs w:val="24"/>
      <w:lang w:val="es-ES" w:eastAsia="es-ES"/>
    </w:rPr>
  </w:style>
  <w:style w:type="character" w:customStyle="1" w:styleId="Ttulo1Car">
    <w:name w:val="Título 1 Car"/>
    <w:basedOn w:val="Fuentedeprrafopredeter"/>
    <w:link w:val="Ttulo1"/>
    <w:rsid w:val="00BC582F"/>
    <w:rPr>
      <w:rFonts w:ascii="Century Gothic" w:eastAsia="Times New Roman" w:hAnsi="Century Gothic" w:cs="Times New Roman"/>
      <w:b/>
      <w:sz w:val="20"/>
      <w:szCs w:val="20"/>
      <w:lang w:eastAsia="es-ES"/>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F7664B"/>
    <w:rPr>
      <w:rFonts w:ascii="Arial Narrow" w:eastAsia="Times New Roman" w:hAnsi="Arial Narrow" w:cs="Times New Roman"/>
      <w:szCs w:val="24"/>
      <w:lang w:eastAsia="es-ES"/>
    </w:rPr>
  </w:style>
  <w:style w:type="character" w:styleId="Refdecomentario">
    <w:name w:val="annotation reference"/>
    <w:basedOn w:val="Fuentedeprrafopredeter"/>
    <w:uiPriority w:val="99"/>
    <w:semiHidden/>
    <w:unhideWhenUsed/>
    <w:rsid w:val="004A0C86"/>
    <w:rPr>
      <w:sz w:val="16"/>
      <w:szCs w:val="16"/>
    </w:rPr>
  </w:style>
  <w:style w:type="paragraph" w:styleId="Textocomentario">
    <w:name w:val="annotation text"/>
    <w:basedOn w:val="Normal"/>
    <w:link w:val="TextocomentarioCar"/>
    <w:uiPriority w:val="99"/>
    <w:unhideWhenUsed/>
    <w:rsid w:val="004A0C86"/>
    <w:rPr>
      <w:sz w:val="20"/>
      <w:szCs w:val="20"/>
    </w:rPr>
  </w:style>
  <w:style w:type="character" w:customStyle="1" w:styleId="TextocomentarioCar">
    <w:name w:val="Texto comentario Car"/>
    <w:basedOn w:val="Fuentedeprrafopredeter"/>
    <w:link w:val="Textocomentario"/>
    <w:uiPriority w:val="99"/>
    <w:rsid w:val="004A0C86"/>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A0C86"/>
    <w:rPr>
      <w:b/>
      <w:bCs/>
    </w:rPr>
  </w:style>
  <w:style w:type="character" w:customStyle="1" w:styleId="AsuntodelcomentarioCar">
    <w:name w:val="Asunto del comentario Car"/>
    <w:basedOn w:val="TextocomentarioCar"/>
    <w:link w:val="Asuntodelcomentario"/>
    <w:uiPriority w:val="99"/>
    <w:semiHidden/>
    <w:rsid w:val="004A0C86"/>
    <w:rPr>
      <w:rFonts w:ascii="Arial Narrow" w:eastAsia="Times New Roman" w:hAnsi="Arial Narrow" w:cs="Times New Roman"/>
      <w:b/>
      <w:bCs/>
      <w:sz w:val="20"/>
      <w:szCs w:val="20"/>
      <w:lang w:eastAsia="es-ES"/>
    </w:rPr>
  </w:style>
  <w:style w:type="paragraph" w:styleId="Encabezado">
    <w:name w:val="header"/>
    <w:basedOn w:val="Normal"/>
    <w:link w:val="EncabezadoCar"/>
    <w:uiPriority w:val="99"/>
    <w:unhideWhenUsed/>
    <w:rsid w:val="00B9394D"/>
    <w:pPr>
      <w:tabs>
        <w:tab w:val="center" w:pos="4419"/>
        <w:tab w:val="right" w:pos="8838"/>
      </w:tabs>
    </w:pPr>
  </w:style>
  <w:style w:type="character" w:customStyle="1" w:styleId="EncabezadoCar">
    <w:name w:val="Encabezado Car"/>
    <w:basedOn w:val="Fuentedeprrafopredeter"/>
    <w:link w:val="Encabezado"/>
    <w:uiPriority w:val="99"/>
    <w:rsid w:val="00B9394D"/>
    <w:rPr>
      <w:rFonts w:ascii="Arial Narrow" w:eastAsia="Times New Roman" w:hAnsi="Arial Narrow" w:cs="Times New Roman"/>
      <w:szCs w:val="24"/>
      <w:lang w:eastAsia="es-ES"/>
    </w:rPr>
  </w:style>
  <w:style w:type="paragraph" w:styleId="Piedepgina">
    <w:name w:val="footer"/>
    <w:basedOn w:val="Normal"/>
    <w:link w:val="PiedepginaCar"/>
    <w:uiPriority w:val="99"/>
    <w:unhideWhenUsed/>
    <w:rsid w:val="00B9394D"/>
    <w:pPr>
      <w:tabs>
        <w:tab w:val="center" w:pos="4419"/>
        <w:tab w:val="right" w:pos="8838"/>
      </w:tabs>
    </w:pPr>
  </w:style>
  <w:style w:type="character" w:customStyle="1" w:styleId="PiedepginaCar">
    <w:name w:val="Pie de página Car"/>
    <w:basedOn w:val="Fuentedeprrafopredeter"/>
    <w:link w:val="Piedepgina"/>
    <w:uiPriority w:val="99"/>
    <w:rsid w:val="00B9394D"/>
    <w:rPr>
      <w:rFonts w:ascii="Arial Narrow" w:eastAsia="Times New Roman" w:hAnsi="Arial Narrow" w:cs="Times New Roman"/>
      <w:szCs w:val="24"/>
      <w:lang w:eastAsia="es-ES"/>
    </w:rPr>
  </w:style>
  <w:style w:type="character" w:customStyle="1" w:styleId="TextodereglamentoChar">
    <w:name w:val="Texto de reglamento Char"/>
    <w:link w:val="Textodereglamento"/>
    <w:locked/>
    <w:rsid w:val="00090428"/>
    <w:rPr>
      <w:szCs w:val="24"/>
      <w:lang w:val="es-ES" w:eastAsia="es-ES"/>
    </w:rPr>
  </w:style>
  <w:style w:type="paragraph" w:customStyle="1" w:styleId="Textodereglamento">
    <w:name w:val="Texto de reglamento"/>
    <w:basedOn w:val="Normal"/>
    <w:link w:val="TextodereglamentoChar"/>
    <w:qFormat/>
    <w:rsid w:val="00090428"/>
    <w:pPr>
      <w:spacing w:before="120"/>
      <w:jc w:val="both"/>
    </w:pPr>
    <w:rPr>
      <w:rFonts w:asciiTheme="minorHAnsi" w:eastAsiaTheme="minorHAnsi" w:hAnsiTheme="minorHAnsi" w:cstheme="minorBidi"/>
      <w:lang w:val="es-ES"/>
    </w:rPr>
  </w:style>
  <w:style w:type="paragraph" w:styleId="Textoindependiente3">
    <w:name w:val="Body Text 3"/>
    <w:basedOn w:val="Normal"/>
    <w:link w:val="Textoindependiente3Car"/>
    <w:unhideWhenUsed/>
    <w:rsid w:val="00735F5B"/>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735F5B"/>
    <w:rPr>
      <w:rFonts w:ascii="Times New Roman" w:eastAsia="Times New Roman" w:hAnsi="Times New Roman" w:cs="Times New Roman"/>
      <w:sz w:val="16"/>
      <w:szCs w:val="16"/>
      <w:lang w:val="es-ES" w:eastAsia="es-ES"/>
    </w:rPr>
  </w:style>
  <w:style w:type="table" w:customStyle="1" w:styleId="Tablaconcuadrcula11">
    <w:name w:val="Tabla con cuadrícula11"/>
    <w:basedOn w:val="Tablanormal"/>
    <w:uiPriority w:val="39"/>
    <w:rsid w:val="006041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D1A6D"/>
    <w:pPr>
      <w:spacing w:after="0" w:line="240" w:lineRule="auto"/>
    </w:pPr>
    <w:rPr>
      <w:rFonts w:ascii="Arial Narrow" w:eastAsia="Times New Roman" w:hAnsi="Arial Narrow" w:cs="Times New Roman"/>
      <w:szCs w:val="24"/>
      <w:lang w:eastAsia="es-ES"/>
    </w:rPr>
  </w:style>
  <w:style w:type="table" w:styleId="Tablaconcuadrcula">
    <w:name w:val="Table Grid"/>
    <w:basedOn w:val="Tablanormal"/>
    <w:uiPriority w:val="39"/>
    <w:rsid w:val="00CD647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s">
    <w:name w:val="incisos"/>
    <w:basedOn w:val="Normal"/>
    <w:qFormat/>
    <w:rsid w:val="00CD6479"/>
    <w:pPr>
      <w:numPr>
        <w:numId w:val="3"/>
      </w:numPr>
      <w:spacing w:before="60"/>
      <w:jc w:val="both"/>
    </w:pPr>
    <w:rPr>
      <w:rFonts w:ascii="Times New Roman" w:eastAsiaTheme="minorHAnsi" w:hAnsi="Times New Roman"/>
      <w:szCs w:val="22"/>
    </w:rPr>
  </w:style>
  <w:style w:type="character" w:customStyle="1" w:styleId="Ttulo2Car">
    <w:name w:val="Título 2 Car"/>
    <w:basedOn w:val="Fuentedeprrafopredeter"/>
    <w:link w:val="Ttulo2"/>
    <w:uiPriority w:val="9"/>
    <w:rsid w:val="0002371C"/>
    <w:rPr>
      <w:rFonts w:asciiTheme="majorHAnsi" w:eastAsiaTheme="majorEastAsia" w:hAnsiTheme="majorHAnsi" w:cstheme="majorBidi"/>
      <w:color w:val="2F5496" w:themeColor="accent1" w:themeShade="BF"/>
      <w:sz w:val="26"/>
      <w:szCs w:val="26"/>
      <w:lang w:eastAsia="es-ES"/>
    </w:rPr>
  </w:style>
  <w:style w:type="paragraph" w:styleId="Textoindependiente">
    <w:name w:val="Body Text"/>
    <w:basedOn w:val="Normal"/>
    <w:link w:val="TextoindependienteCar"/>
    <w:uiPriority w:val="99"/>
    <w:semiHidden/>
    <w:unhideWhenUsed/>
    <w:rsid w:val="0002371C"/>
    <w:pPr>
      <w:spacing w:after="120"/>
    </w:pPr>
  </w:style>
  <w:style w:type="character" w:customStyle="1" w:styleId="TextoindependienteCar">
    <w:name w:val="Texto independiente Car"/>
    <w:basedOn w:val="Fuentedeprrafopredeter"/>
    <w:link w:val="Textoindependiente"/>
    <w:uiPriority w:val="99"/>
    <w:semiHidden/>
    <w:rsid w:val="0002371C"/>
    <w:rPr>
      <w:rFonts w:ascii="Arial Narrow" w:eastAsia="Times New Roman" w:hAnsi="Arial Narrow" w:cs="Times New Roman"/>
      <w:szCs w:val="24"/>
      <w:lang w:eastAsia="es-ES"/>
    </w:rPr>
  </w:style>
  <w:style w:type="paragraph" w:styleId="Sangradetextonormal">
    <w:name w:val="Body Text Indent"/>
    <w:basedOn w:val="Normal"/>
    <w:link w:val="SangradetextonormalCar"/>
    <w:uiPriority w:val="99"/>
    <w:semiHidden/>
    <w:unhideWhenUsed/>
    <w:rsid w:val="00D44681"/>
    <w:pPr>
      <w:spacing w:after="120"/>
      <w:ind w:left="283"/>
    </w:pPr>
  </w:style>
  <w:style w:type="character" w:customStyle="1" w:styleId="SangradetextonormalCar">
    <w:name w:val="Sangría de texto normal Car"/>
    <w:basedOn w:val="Fuentedeprrafopredeter"/>
    <w:link w:val="Sangradetextonormal"/>
    <w:uiPriority w:val="99"/>
    <w:semiHidden/>
    <w:rsid w:val="00D44681"/>
    <w:rPr>
      <w:rFonts w:ascii="Arial Narrow" w:eastAsia="Times New Roman" w:hAnsi="Arial Narrow" w:cs="Times New Roman"/>
      <w:szCs w:val="24"/>
      <w:lang w:eastAsia="es-ES"/>
    </w:rPr>
  </w:style>
  <w:style w:type="paragraph" w:styleId="Sinespaciado">
    <w:name w:val="No Spacing"/>
    <w:uiPriority w:val="1"/>
    <w:qFormat/>
    <w:rsid w:val="00D221CB"/>
    <w:pPr>
      <w:widowControl w:val="0"/>
      <w:autoSpaceDE w:val="0"/>
      <w:autoSpaceDN w:val="0"/>
      <w:spacing w:after="0" w:line="240" w:lineRule="auto"/>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209">
      <w:bodyDiv w:val="1"/>
      <w:marLeft w:val="0"/>
      <w:marRight w:val="0"/>
      <w:marTop w:val="0"/>
      <w:marBottom w:val="0"/>
      <w:divBdr>
        <w:top w:val="none" w:sz="0" w:space="0" w:color="auto"/>
        <w:left w:val="none" w:sz="0" w:space="0" w:color="auto"/>
        <w:bottom w:val="none" w:sz="0" w:space="0" w:color="auto"/>
        <w:right w:val="none" w:sz="0" w:space="0" w:color="auto"/>
      </w:divBdr>
    </w:div>
    <w:div w:id="82653416">
      <w:bodyDiv w:val="1"/>
      <w:marLeft w:val="0"/>
      <w:marRight w:val="0"/>
      <w:marTop w:val="0"/>
      <w:marBottom w:val="0"/>
      <w:divBdr>
        <w:top w:val="none" w:sz="0" w:space="0" w:color="auto"/>
        <w:left w:val="none" w:sz="0" w:space="0" w:color="auto"/>
        <w:bottom w:val="none" w:sz="0" w:space="0" w:color="auto"/>
        <w:right w:val="none" w:sz="0" w:space="0" w:color="auto"/>
      </w:divBdr>
    </w:div>
    <w:div w:id="256181147">
      <w:bodyDiv w:val="1"/>
      <w:marLeft w:val="0"/>
      <w:marRight w:val="0"/>
      <w:marTop w:val="0"/>
      <w:marBottom w:val="0"/>
      <w:divBdr>
        <w:top w:val="none" w:sz="0" w:space="0" w:color="auto"/>
        <w:left w:val="none" w:sz="0" w:space="0" w:color="auto"/>
        <w:bottom w:val="none" w:sz="0" w:space="0" w:color="auto"/>
        <w:right w:val="none" w:sz="0" w:space="0" w:color="auto"/>
      </w:divBdr>
    </w:div>
    <w:div w:id="463353618">
      <w:bodyDiv w:val="1"/>
      <w:marLeft w:val="0"/>
      <w:marRight w:val="0"/>
      <w:marTop w:val="0"/>
      <w:marBottom w:val="0"/>
      <w:divBdr>
        <w:top w:val="none" w:sz="0" w:space="0" w:color="auto"/>
        <w:left w:val="none" w:sz="0" w:space="0" w:color="auto"/>
        <w:bottom w:val="none" w:sz="0" w:space="0" w:color="auto"/>
        <w:right w:val="none" w:sz="0" w:space="0" w:color="auto"/>
      </w:divBdr>
    </w:div>
    <w:div w:id="524751761">
      <w:bodyDiv w:val="1"/>
      <w:marLeft w:val="0"/>
      <w:marRight w:val="0"/>
      <w:marTop w:val="0"/>
      <w:marBottom w:val="0"/>
      <w:divBdr>
        <w:top w:val="none" w:sz="0" w:space="0" w:color="auto"/>
        <w:left w:val="none" w:sz="0" w:space="0" w:color="auto"/>
        <w:bottom w:val="none" w:sz="0" w:space="0" w:color="auto"/>
        <w:right w:val="none" w:sz="0" w:space="0" w:color="auto"/>
      </w:divBdr>
    </w:div>
    <w:div w:id="535046594">
      <w:bodyDiv w:val="1"/>
      <w:marLeft w:val="0"/>
      <w:marRight w:val="0"/>
      <w:marTop w:val="0"/>
      <w:marBottom w:val="0"/>
      <w:divBdr>
        <w:top w:val="none" w:sz="0" w:space="0" w:color="auto"/>
        <w:left w:val="none" w:sz="0" w:space="0" w:color="auto"/>
        <w:bottom w:val="none" w:sz="0" w:space="0" w:color="auto"/>
        <w:right w:val="none" w:sz="0" w:space="0" w:color="auto"/>
      </w:divBdr>
    </w:div>
    <w:div w:id="607394071">
      <w:bodyDiv w:val="1"/>
      <w:marLeft w:val="0"/>
      <w:marRight w:val="0"/>
      <w:marTop w:val="0"/>
      <w:marBottom w:val="0"/>
      <w:divBdr>
        <w:top w:val="none" w:sz="0" w:space="0" w:color="auto"/>
        <w:left w:val="none" w:sz="0" w:space="0" w:color="auto"/>
        <w:bottom w:val="none" w:sz="0" w:space="0" w:color="auto"/>
        <w:right w:val="none" w:sz="0" w:space="0" w:color="auto"/>
      </w:divBdr>
    </w:div>
    <w:div w:id="1423725942">
      <w:bodyDiv w:val="1"/>
      <w:marLeft w:val="0"/>
      <w:marRight w:val="0"/>
      <w:marTop w:val="0"/>
      <w:marBottom w:val="0"/>
      <w:divBdr>
        <w:top w:val="none" w:sz="0" w:space="0" w:color="auto"/>
        <w:left w:val="none" w:sz="0" w:space="0" w:color="auto"/>
        <w:bottom w:val="none" w:sz="0" w:space="0" w:color="auto"/>
        <w:right w:val="none" w:sz="0" w:space="0" w:color="auto"/>
      </w:divBdr>
    </w:div>
    <w:div w:id="1485972274">
      <w:bodyDiv w:val="1"/>
      <w:marLeft w:val="0"/>
      <w:marRight w:val="0"/>
      <w:marTop w:val="0"/>
      <w:marBottom w:val="0"/>
      <w:divBdr>
        <w:top w:val="none" w:sz="0" w:space="0" w:color="auto"/>
        <w:left w:val="none" w:sz="0" w:space="0" w:color="auto"/>
        <w:bottom w:val="none" w:sz="0" w:space="0" w:color="auto"/>
        <w:right w:val="none" w:sz="0" w:space="0" w:color="auto"/>
      </w:divBdr>
    </w:div>
    <w:div w:id="1833064026">
      <w:bodyDiv w:val="1"/>
      <w:marLeft w:val="0"/>
      <w:marRight w:val="0"/>
      <w:marTop w:val="0"/>
      <w:marBottom w:val="0"/>
      <w:divBdr>
        <w:top w:val="none" w:sz="0" w:space="0" w:color="auto"/>
        <w:left w:val="none" w:sz="0" w:space="0" w:color="auto"/>
        <w:bottom w:val="none" w:sz="0" w:space="0" w:color="auto"/>
        <w:right w:val="none" w:sz="0" w:space="0" w:color="auto"/>
      </w:divBdr>
    </w:div>
    <w:div w:id="206340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FA26A1ED-42C4-47C5-96BD-8CB3C6BFAA14}"/>
</file>

<file path=customXml/itemProps2.xml><?xml version="1.0" encoding="utf-8"?>
<ds:datastoreItem xmlns:ds="http://schemas.openxmlformats.org/officeDocument/2006/customXml" ds:itemID="{D7310863-4BD0-4D2C-A131-E6CB7168F022}"/>
</file>

<file path=customXml/itemProps3.xml><?xml version="1.0" encoding="utf-8"?>
<ds:datastoreItem xmlns:ds="http://schemas.openxmlformats.org/officeDocument/2006/customXml" ds:itemID="{605A5284-F176-4195-94A3-8F03F5C05E8B}"/>
</file>

<file path=customXml/itemProps4.xml><?xml version="1.0" encoding="utf-8"?>
<ds:datastoreItem xmlns:ds="http://schemas.openxmlformats.org/officeDocument/2006/customXml" ds:itemID="{0A70867E-3C0D-4065-9831-FD2340BDA1C8}"/>
</file>

<file path=docProps/app.xml><?xml version="1.0" encoding="utf-8"?>
<Properties xmlns="http://schemas.openxmlformats.org/officeDocument/2006/extended-properties" xmlns:vt="http://schemas.openxmlformats.org/officeDocument/2006/docPropsVTypes">
  <Template>Normal</Template>
  <TotalTime>164</TotalTime>
  <Pages>4</Pages>
  <Words>1138</Words>
  <Characters>6259</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JGS</dc:creator>
  <cp:keywords/>
  <dc:description/>
  <cp:lastModifiedBy>BURGOS CAMACHO MARIA JOSE</cp:lastModifiedBy>
  <cp:revision>6</cp:revision>
  <dcterms:created xsi:type="dcterms:W3CDTF">2023-07-04T16:30:00Z</dcterms:created>
  <dcterms:modified xsi:type="dcterms:W3CDTF">2023-07-26T20:59:00Z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2023-07-05T20:45:23Z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d117a269-d894-45e4-a76c-bc87fd889193</vt:lpwstr>
  </property>
  <property fmtid="{D5CDD505-2E9C-101B-9397-08002B2CF9AE}" pid="8" name="MSIP_Label_b8b4be34-365a-4a68-b9fb-75c1b6874315_ContentBits">
    <vt:lpwstr>2</vt:lpwstr>
  </property>
  <property fmtid="{D5CDD505-2E9C-101B-9397-08002B2CF9AE}" pid="9" name="ContentTypeId">
    <vt:lpwstr>0x010100C66477CF232ACD46B93353E93693837C</vt:lpwstr>
  </property>
</Properties>
</file>