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CA22" w14:textId="1AA643E9" w:rsidR="0080703C" w:rsidRPr="003C0838" w:rsidRDefault="006319CB" w:rsidP="003C0838">
      <w:pPr>
        <w:tabs>
          <w:tab w:val="left" w:pos="8910"/>
        </w:tabs>
        <w:spacing w:before="240" w:after="240"/>
        <w:jc w:val="both"/>
        <w:rPr>
          <w:rFonts w:ascii="Arial" w:hAnsi="Arial" w:cs="Arial"/>
          <w:b/>
          <w:bCs/>
          <w:szCs w:val="22"/>
          <w:lang w:val="es-ES"/>
        </w:rPr>
      </w:pPr>
      <w:r w:rsidRPr="003C0838">
        <w:rPr>
          <w:rFonts w:ascii="Arial" w:hAnsi="Arial" w:cs="Arial"/>
          <w:b/>
          <w:bCs/>
          <w:szCs w:val="22"/>
          <w:lang w:val="es-ES"/>
        </w:rPr>
        <w:t>SGV-A-282</w:t>
      </w:r>
      <w:r w:rsidR="0080703C" w:rsidRPr="003C0838">
        <w:rPr>
          <w:rFonts w:ascii="Arial" w:hAnsi="Arial" w:cs="Arial"/>
          <w:b/>
          <w:bCs/>
          <w:szCs w:val="22"/>
          <w:lang w:val="es-ES"/>
        </w:rPr>
        <w:t>.  MODIFICACIÓN AL ACUERDO SGV-A-257 Información Básica de las Entidades Reguladas y Supervisadas por la Superintendencia General de Valores</w:t>
      </w:r>
      <w:r w:rsidR="0080703C" w:rsidRPr="003C0838">
        <w:rPr>
          <w:rStyle w:val="Refdenotaalpie"/>
          <w:rFonts w:ascii="Arial" w:hAnsi="Arial" w:cs="Arial"/>
          <w:b/>
          <w:bCs/>
          <w:szCs w:val="22"/>
          <w:lang w:val="es-MX" w:eastAsia="en-US"/>
        </w:rPr>
        <w:footnoteReference w:id="1"/>
      </w:r>
    </w:p>
    <w:p w14:paraId="04CC5CAA" w14:textId="77777777" w:rsidR="00123BF7" w:rsidRPr="003C0838" w:rsidRDefault="00123BF7" w:rsidP="00126E34">
      <w:pPr>
        <w:pStyle w:val="Ttulo"/>
        <w:tabs>
          <w:tab w:val="left" w:pos="2835"/>
        </w:tabs>
        <w:spacing w:before="240" w:after="240"/>
        <w:jc w:val="both"/>
        <w:rPr>
          <w:rFonts w:cs="Arial"/>
          <w:bCs/>
          <w:i w:val="0"/>
          <w:iCs/>
          <w:noProof/>
          <w:sz w:val="22"/>
          <w:szCs w:val="22"/>
          <w:lang w:val="es-ES_tradnl"/>
        </w:rPr>
      </w:pPr>
      <w:r w:rsidRPr="003C0838">
        <w:rPr>
          <w:rFonts w:cs="Arial"/>
          <w:bCs/>
          <w:i w:val="0"/>
          <w:iCs/>
          <w:noProof/>
          <w:sz w:val="22"/>
          <w:szCs w:val="22"/>
          <w:lang w:val="es-ES_tradnl"/>
        </w:rPr>
        <w:t>Considerando que:</w:t>
      </w:r>
    </w:p>
    <w:p w14:paraId="2F0B9A22" w14:textId="77777777" w:rsidR="00822B62" w:rsidRPr="003C0838" w:rsidRDefault="00822B62" w:rsidP="00822B62">
      <w:pPr>
        <w:pStyle w:val="Numeracin"/>
        <w:spacing w:before="0"/>
        <w:ind w:left="567" w:hanging="567"/>
        <w:rPr>
          <w:rFonts w:ascii="Arial" w:hAnsi="Arial" w:cs="Arial"/>
          <w:szCs w:val="22"/>
        </w:rPr>
      </w:pPr>
      <w:r w:rsidRPr="003C0838">
        <w:rPr>
          <w:rFonts w:ascii="Arial" w:hAnsi="Arial" w:cs="Arial"/>
          <w:szCs w:val="22"/>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6B24E2EA" w14:textId="77777777" w:rsidR="00822B62" w:rsidRPr="003C0838" w:rsidRDefault="00822B62" w:rsidP="00822B62">
      <w:pPr>
        <w:pStyle w:val="Numeracin"/>
        <w:numPr>
          <w:ilvl w:val="0"/>
          <w:numId w:val="0"/>
        </w:numPr>
        <w:spacing w:before="0"/>
        <w:ind w:left="567"/>
        <w:rPr>
          <w:rFonts w:ascii="Arial" w:hAnsi="Arial" w:cs="Arial"/>
          <w:szCs w:val="22"/>
        </w:rPr>
      </w:pPr>
    </w:p>
    <w:p w14:paraId="01221FAD" w14:textId="77777777" w:rsidR="00822B62" w:rsidRPr="003C0838" w:rsidRDefault="00822B62" w:rsidP="00822B62">
      <w:pPr>
        <w:pStyle w:val="Numeracin"/>
        <w:spacing w:before="0"/>
        <w:ind w:left="567" w:hanging="567"/>
        <w:rPr>
          <w:rFonts w:ascii="Arial" w:hAnsi="Arial" w:cs="Arial"/>
          <w:szCs w:val="22"/>
        </w:rPr>
      </w:pPr>
      <w:r w:rsidRPr="003C0838">
        <w:rPr>
          <w:rFonts w:ascii="Arial" w:hAnsi="Arial" w:cs="Arial"/>
          <w:szCs w:val="22"/>
        </w:rPr>
        <w:t>El artículo 8 inciso j) de la Ley 7732, Ley Reguladora del Mercado de Valores, determina que corresponde al Superintendente General de Valores adoptar todas las acciones necesarias para el cumplimiento efectivo de las funciones de regulación que le competen a la Superintendencia según lo dispuesto en la ley.</w:t>
      </w:r>
    </w:p>
    <w:p w14:paraId="1525DC48" w14:textId="77777777" w:rsidR="00822B62" w:rsidRPr="003C0838" w:rsidRDefault="00822B62" w:rsidP="00822B62">
      <w:pPr>
        <w:pStyle w:val="Numeracin"/>
        <w:numPr>
          <w:ilvl w:val="0"/>
          <w:numId w:val="0"/>
        </w:numPr>
        <w:spacing w:before="0"/>
        <w:ind w:left="567" w:hanging="567"/>
        <w:rPr>
          <w:rFonts w:ascii="Arial" w:hAnsi="Arial" w:cs="Arial"/>
          <w:szCs w:val="22"/>
        </w:rPr>
      </w:pPr>
    </w:p>
    <w:p w14:paraId="688084FB" w14:textId="77777777" w:rsidR="00822B62" w:rsidRPr="003C0838" w:rsidRDefault="00822B62" w:rsidP="00822B62">
      <w:pPr>
        <w:pStyle w:val="Numeracin"/>
        <w:spacing w:before="0"/>
        <w:ind w:left="567" w:hanging="567"/>
        <w:rPr>
          <w:rFonts w:ascii="Arial" w:hAnsi="Arial" w:cs="Arial"/>
          <w:szCs w:val="22"/>
        </w:rPr>
      </w:pPr>
      <w:r w:rsidRPr="003C0838">
        <w:rPr>
          <w:rFonts w:ascii="Arial" w:hAnsi="Arial" w:cs="Arial"/>
          <w:szCs w:val="22"/>
        </w:rPr>
        <w:t>El artículo 105 de la Ley Reguladora del Mercado de Valores, indica que los emisores de valores deberán informar al público, en el menor plazo posible, de la existencia de factores, hechos o decisiones que puedan influir, de modo sensible, en el precio de sus valores.</w:t>
      </w:r>
    </w:p>
    <w:p w14:paraId="257A79D3" w14:textId="77777777" w:rsidR="00822B62" w:rsidRPr="003C0838" w:rsidRDefault="00822B62" w:rsidP="00822B62">
      <w:pPr>
        <w:pStyle w:val="Numeracin"/>
        <w:numPr>
          <w:ilvl w:val="0"/>
          <w:numId w:val="0"/>
        </w:numPr>
        <w:spacing w:before="0"/>
        <w:ind w:left="567" w:hanging="567"/>
        <w:rPr>
          <w:rFonts w:ascii="Arial" w:hAnsi="Arial" w:cs="Arial"/>
          <w:szCs w:val="22"/>
        </w:rPr>
      </w:pPr>
    </w:p>
    <w:p w14:paraId="66A04D58" w14:textId="77777777" w:rsidR="00822B62" w:rsidRPr="003C0838" w:rsidRDefault="00822B62" w:rsidP="00822B62">
      <w:pPr>
        <w:pStyle w:val="Numeracin"/>
        <w:spacing w:before="0"/>
        <w:ind w:left="567" w:hanging="567"/>
        <w:rPr>
          <w:rFonts w:ascii="Arial" w:hAnsi="Arial" w:cs="Arial"/>
          <w:color w:val="000000"/>
          <w:szCs w:val="22"/>
        </w:rPr>
      </w:pPr>
      <w:r w:rsidRPr="003C0838">
        <w:rPr>
          <w:rFonts w:ascii="Arial" w:hAnsi="Arial" w:cs="Arial"/>
          <w:szCs w:val="22"/>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eficiente el proceso de captura de información sobre miembros de órgano dirección, alta gerencia y otros órganos de </w:t>
      </w:r>
      <w:r w:rsidRPr="003C0838">
        <w:rPr>
          <w:rFonts w:ascii="Arial" w:hAnsi="Arial" w:cs="Arial"/>
          <w:color w:val="000000"/>
          <w:szCs w:val="22"/>
        </w:rPr>
        <w:t xml:space="preserve">gobierno de las entidades supervisadas y fiscalizadas, mediante las herramientas informáticas de autogestión Sistema de Registro y Actualización de Roles y Administración de Esquemas de Seguridad (AES) que sea uniforme con las herramientas con que cuentan otras Superintendencias. </w:t>
      </w:r>
    </w:p>
    <w:p w14:paraId="2EC423ED" w14:textId="77777777" w:rsidR="00822B62" w:rsidRPr="003C0838" w:rsidRDefault="00822B62" w:rsidP="00822B62">
      <w:pPr>
        <w:pStyle w:val="Prrafodelista"/>
        <w:rPr>
          <w:rFonts w:ascii="Arial" w:hAnsi="Arial" w:cs="Arial"/>
          <w:color w:val="000000"/>
          <w:szCs w:val="22"/>
        </w:rPr>
      </w:pPr>
    </w:p>
    <w:p w14:paraId="35A317B6" w14:textId="77777777" w:rsidR="00822B62" w:rsidRPr="003C0838" w:rsidRDefault="00822B62" w:rsidP="00822B62">
      <w:pPr>
        <w:pStyle w:val="Numeracin"/>
        <w:spacing w:before="0"/>
        <w:ind w:left="567" w:hanging="567"/>
        <w:rPr>
          <w:rFonts w:ascii="Arial" w:hAnsi="Arial" w:cs="Arial"/>
          <w:color w:val="000000"/>
          <w:szCs w:val="22"/>
        </w:rPr>
      </w:pPr>
      <w:r w:rsidRPr="003C0838">
        <w:rPr>
          <w:rFonts w:ascii="Arial" w:hAnsi="Arial" w:cs="Arial"/>
          <w:color w:val="000000"/>
          <w:szCs w:val="22"/>
        </w:rPr>
        <w:t>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en el sistema de Roles se constituye en un insumo para el análisis de las entidades que participan en el mercado de valores.</w:t>
      </w:r>
    </w:p>
    <w:p w14:paraId="4CD16813" w14:textId="77777777" w:rsidR="00822B62" w:rsidRPr="003C0838" w:rsidRDefault="00822B62" w:rsidP="00822B62">
      <w:pPr>
        <w:pStyle w:val="Numeracin"/>
        <w:numPr>
          <w:ilvl w:val="0"/>
          <w:numId w:val="0"/>
        </w:numPr>
        <w:spacing w:before="0"/>
        <w:ind w:left="567"/>
        <w:rPr>
          <w:rFonts w:ascii="Arial" w:hAnsi="Arial" w:cs="Arial"/>
          <w:color w:val="000000" w:themeColor="text1"/>
          <w:szCs w:val="22"/>
          <w:lang w:eastAsia="es-CR"/>
        </w:rPr>
      </w:pPr>
    </w:p>
    <w:p w14:paraId="18927B45" w14:textId="77777777" w:rsidR="00822B62" w:rsidRPr="003C0838" w:rsidRDefault="00822B62" w:rsidP="00822B62">
      <w:pPr>
        <w:pStyle w:val="Numeracin"/>
        <w:spacing w:before="0"/>
        <w:ind w:left="567" w:hanging="567"/>
        <w:rPr>
          <w:rFonts w:ascii="Arial" w:hAnsi="Arial" w:cs="Arial"/>
          <w:color w:val="000000"/>
          <w:szCs w:val="22"/>
        </w:rPr>
      </w:pPr>
      <w:r w:rsidRPr="003C0838">
        <w:rPr>
          <w:rFonts w:ascii="Arial" w:hAnsi="Arial" w:cs="Arial"/>
          <w:color w:val="000000"/>
          <w:szCs w:val="22"/>
        </w:rPr>
        <w:t xml:space="preserve">Además, la utilización de tecnologías de información permite proteger los datos y las transacciones de forma segura, oportuna y eficiente, a la vez facilita la remisión de </w:t>
      </w:r>
      <w:r w:rsidRPr="003C0838">
        <w:rPr>
          <w:rFonts w:ascii="Arial" w:hAnsi="Arial" w:cs="Arial"/>
          <w:color w:val="000000"/>
          <w:szCs w:val="22"/>
        </w:rPr>
        <w:lastRenderedPageBreak/>
        <w:t>información de manera periódica, lo cual constituye una herramienta fundamental para las labores de supervisión y control desarrolladas por la Superintendencia.</w:t>
      </w:r>
    </w:p>
    <w:p w14:paraId="468FBBCA" w14:textId="77777777" w:rsidR="00822B62" w:rsidRPr="003C0838" w:rsidRDefault="00822B62" w:rsidP="00822B62">
      <w:pPr>
        <w:pStyle w:val="Numeracin"/>
        <w:numPr>
          <w:ilvl w:val="0"/>
          <w:numId w:val="0"/>
        </w:numPr>
        <w:spacing w:before="0"/>
        <w:rPr>
          <w:rFonts w:ascii="Arial" w:hAnsi="Arial" w:cs="Arial"/>
          <w:color w:val="FF0000"/>
          <w:szCs w:val="22"/>
        </w:rPr>
      </w:pPr>
    </w:p>
    <w:p w14:paraId="1324174B" w14:textId="77777777" w:rsidR="00822B62" w:rsidRPr="003C0838" w:rsidRDefault="00822B62" w:rsidP="00822B62">
      <w:pPr>
        <w:pStyle w:val="Numeracin"/>
        <w:spacing w:before="0"/>
        <w:ind w:left="567" w:hanging="567"/>
        <w:rPr>
          <w:rFonts w:ascii="Arial" w:hAnsi="Arial" w:cs="Arial"/>
          <w:color w:val="000000" w:themeColor="text1"/>
          <w:szCs w:val="22"/>
          <w:lang w:eastAsia="es-CR"/>
        </w:rPr>
      </w:pPr>
      <w:bookmarkStart w:id="0" w:name="_Hlk144749591"/>
      <w:r w:rsidRPr="003C0838">
        <w:rPr>
          <w:rFonts w:ascii="Arial" w:hAnsi="Arial" w:cs="Arial"/>
          <w:color w:val="000000" w:themeColor="text1"/>
          <w:szCs w:val="22"/>
          <w:lang w:eastAsia="es-CR"/>
        </w:rPr>
        <w:t>Como resultado del proceso de revisión continua de los acuerdos emitidos por el Superintendente, se ha identificado una oportunidad de mejora para simplificar el registro y actualización de ciertos puestos</w:t>
      </w:r>
      <w:r w:rsidR="00D56D0A" w:rsidRPr="003C0838">
        <w:rPr>
          <w:rFonts w:ascii="Arial" w:hAnsi="Arial" w:cs="Arial"/>
          <w:szCs w:val="22"/>
        </w:rPr>
        <w:t xml:space="preserve"> (</w:t>
      </w:r>
      <w:r w:rsidR="00D56D0A" w:rsidRPr="003C0838">
        <w:rPr>
          <w:rFonts w:ascii="Arial" w:hAnsi="Arial" w:cs="Arial"/>
          <w:color w:val="000000" w:themeColor="text1"/>
          <w:szCs w:val="22"/>
          <w:lang w:eastAsia="es-CR"/>
        </w:rPr>
        <w:t>rol de fiscal y estructura de capital)</w:t>
      </w:r>
      <w:r w:rsidRPr="003C0838">
        <w:rPr>
          <w:rFonts w:ascii="Arial" w:hAnsi="Arial" w:cs="Arial"/>
          <w:color w:val="000000" w:themeColor="text1"/>
          <w:szCs w:val="22"/>
          <w:lang w:eastAsia="es-CR"/>
        </w:rPr>
        <w:t>, así como del detalle de los grupos que se incluyen en cada agrupación.</w:t>
      </w:r>
    </w:p>
    <w:bookmarkEnd w:id="0"/>
    <w:p w14:paraId="6A9E42BA" w14:textId="77777777" w:rsidR="00822B62" w:rsidRPr="003C0838" w:rsidRDefault="00822B62" w:rsidP="00822B62">
      <w:pPr>
        <w:pStyle w:val="Prrafodelista"/>
        <w:rPr>
          <w:rFonts w:ascii="Arial" w:hAnsi="Arial" w:cs="Arial"/>
          <w:color w:val="000000" w:themeColor="text1"/>
          <w:szCs w:val="22"/>
          <w:lang w:eastAsia="es-CR"/>
        </w:rPr>
      </w:pPr>
    </w:p>
    <w:p w14:paraId="5472D966" w14:textId="77777777" w:rsidR="00822B62" w:rsidRPr="003C0838" w:rsidRDefault="00822B62" w:rsidP="00822B62">
      <w:pPr>
        <w:pStyle w:val="Numeracin"/>
        <w:spacing w:before="0"/>
        <w:ind w:left="567" w:hanging="567"/>
        <w:rPr>
          <w:rFonts w:ascii="Arial" w:hAnsi="Arial" w:cs="Arial"/>
          <w:color w:val="000000" w:themeColor="text1"/>
          <w:szCs w:val="22"/>
          <w:lang w:eastAsia="es-CR"/>
        </w:rPr>
      </w:pPr>
      <w:r w:rsidRPr="003C0838">
        <w:rPr>
          <w:rFonts w:ascii="Arial" w:hAnsi="Arial" w:cs="Arial"/>
          <w:color w:val="000000" w:themeColor="text1"/>
          <w:szCs w:val="22"/>
          <w:lang w:eastAsia="es-CR"/>
        </w:rPr>
        <w:t>Valoradas los anteriores considerandos, se prescinde de la consulta pública por tratarse de un acto que simplifica la carga de información, sino que busca el cumplimiento del interés público de la institución, ello según lo dispuesto en el artículo 361 inciso 2 de la Ley General de la Administración Pública.</w:t>
      </w:r>
    </w:p>
    <w:p w14:paraId="550AF33F" w14:textId="77777777" w:rsidR="00822B62" w:rsidRPr="003C0838" w:rsidRDefault="00822B62" w:rsidP="00822B62">
      <w:pPr>
        <w:pStyle w:val="Prrafodelista"/>
        <w:rPr>
          <w:rFonts w:ascii="Arial" w:hAnsi="Arial" w:cs="Arial"/>
          <w:color w:val="000000" w:themeColor="text1"/>
          <w:szCs w:val="22"/>
          <w:lang w:eastAsia="es-CR"/>
        </w:rPr>
      </w:pPr>
    </w:p>
    <w:p w14:paraId="2022A5E2" w14:textId="77777777" w:rsidR="004A0B0C" w:rsidRPr="003C0838" w:rsidRDefault="004A0B0C" w:rsidP="00126E34">
      <w:pPr>
        <w:widowControl w:val="0"/>
        <w:tabs>
          <w:tab w:val="left" w:pos="567"/>
        </w:tabs>
        <w:spacing w:before="240" w:after="240"/>
        <w:jc w:val="both"/>
        <w:rPr>
          <w:rFonts w:ascii="Arial" w:hAnsi="Arial" w:cs="Arial"/>
          <w:bCs/>
          <w:szCs w:val="22"/>
        </w:rPr>
      </w:pPr>
      <w:r w:rsidRPr="003C0838">
        <w:rPr>
          <w:rFonts w:ascii="Arial" w:hAnsi="Arial" w:cs="Arial"/>
          <w:bCs/>
          <w:szCs w:val="22"/>
        </w:rPr>
        <w:t>Por tanto</w:t>
      </w:r>
      <w:r w:rsidR="008D57BF" w:rsidRPr="003C0838">
        <w:rPr>
          <w:rFonts w:ascii="Arial" w:hAnsi="Arial" w:cs="Arial"/>
          <w:bCs/>
          <w:szCs w:val="22"/>
        </w:rPr>
        <w:t xml:space="preserve">, </w:t>
      </w:r>
      <w:r w:rsidRPr="003C0838">
        <w:rPr>
          <w:rFonts w:ascii="Arial" w:hAnsi="Arial" w:cs="Arial"/>
          <w:bCs/>
          <w:szCs w:val="22"/>
        </w:rPr>
        <w:t>dispone el presente acuerdo:</w:t>
      </w:r>
    </w:p>
    <w:p w14:paraId="6C429B73" w14:textId="3AC14E20" w:rsidR="00E34FB9" w:rsidRPr="003C0838" w:rsidRDefault="00CD6479" w:rsidP="00CD6479">
      <w:pPr>
        <w:tabs>
          <w:tab w:val="left" w:pos="8910"/>
        </w:tabs>
        <w:spacing w:before="240" w:after="240"/>
        <w:jc w:val="center"/>
        <w:rPr>
          <w:rFonts w:ascii="Arial" w:hAnsi="Arial" w:cs="Arial"/>
          <w:b/>
          <w:color w:val="000000" w:themeColor="text1"/>
          <w:szCs w:val="22"/>
        </w:rPr>
      </w:pPr>
      <w:bookmarkStart w:id="1" w:name="_Hlk126748299"/>
      <w:r w:rsidRPr="003C0838">
        <w:rPr>
          <w:rFonts w:ascii="Arial" w:hAnsi="Arial" w:cs="Arial"/>
          <w:b/>
          <w:szCs w:val="22"/>
        </w:rPr>
        <w:t xml:space="preserve">APROBAR EL ACUERDO </w:t>
      </w:r>
      <w:r w:rsidR="006319CB" w:rsidRPr="003C0838">
        <w:rPr>
          <w:rFonts w:ascii="Arial" w:hAnsi="Arial" w:cs="Arial"/>
          <w:b/>
          <w:szCs w:val="22"/>
        </w:rPr>
        <w:t>SGV-A-282</w:t>
      </w:r>
      <w:r w:rsidRPr="003C0838">
        <w:rPr>
          <w:rFonts w:ascii="Arial" w:hAnsi="Arial" w:cs="Arial"/>
          <w:b/>
          <w:szCs w:val="22"/>
        </w:rPr>
        <w:t xml:space="preserve">.  MODIFICACIÓN AL ACUERDO </w:t>
      </w:r>
      <w:r w:rsidR="00E34FB9" w:rsidRPr="003C0838">
        <w:rPr>
          <w:rFonts w:ascii="Arial" w:hAnsi="Arial" w:cs="Arial"/>
          <w:b/>
          <w:color w:val="000000" w:themeColor="text1"/>
          <w:szCs w:val="22"/>
        </w:rPr>
        <w:t>SGV-A-257. “SGV-A-257. INFORMACIÓN BÁSICA DE LAS ENTIDADES REGULADAS Y   SUPERVISADAS POR LA SUPERINTENDENCIA GENERAL DE VALORES”</w:t>
      </w:r>
    </w:p>
    <w:bookmarkEnd w:id="1"/>
    <w:p w14:paraId="52528E80" w14:textId="77777777" w:rsidR="00822B62" w:rsidRPr="003C0838" w:rsidRDefault="00822B62" w:rsidP="00822B62">
      <w:pPr>
        <w:widowControl w:val="0"/>
        <w:autoSpaceDE w:val="0"/>
        <w:autoSpaceDN w:val="0"/>
        <w:spacing w:before="120" w:after="120" w:line="252" w:lineRule="auto"/>
        <w:jc w:val="both"/>
        <w:rPr>
          <w:rFonts w:ascii="Arial" w:hAnsi="Arial" w:cs="Arial"/>
          <w:b/>
          <w:color w:val="000000" w:themeColor="text1"/>
          <w:szCs w:val="22"/>
        </w:rPr>
      </w:pPr>
      <w:r w:rsidRPr="003C0838">
        <w:rPr>
          <w:rFonts w:ascii="Arial" w:hAnsi="Arial" w:cs="Arial"/>
          <w:b/>
          <w:color w:val="000000" w:themeColor="text1"/>
          <w:szCs w:val="22"/>
        </w:rPr>
        <w:t>Artículo 1.  Modificación al artículo 6 sobre las declaraciones.</w:t>
      </w:r>
    </w:p>
    <w:p w14:paraId="4431AAED" w14:textId="77777777" w:rsidR="00822B62" w:rsidRPr="003C0838" w:rsidRDefault="00822B62" w:rsidP="00822B62">
      <w:pPr>
        <w:widowControl w:val="0"/>
        <w:autoSpaceDE w:val="0"/>
        <w:autoSpaceDN w:val="0"/>
        <w:spacing w:before="120" w:after="120" w:line="252" w:lineRule="auto"/>
        <w:jc w:val="both"/>
        <w:rPr>
          <w:rFonts w:ascii="Arial" w:eastAsia="Cambria" w:hAnsi="Arial" w:cs="Arial"/>
          <w:color w:val="000000" w:themeColor="text1"/>
          <w:szCs w:val="22"/>
        </w:rPr>
      </w:pPr>
      <w:r w:rsidRPr="003C0838">
        <w:rPr>
          <w:rFonts w:ascii="Arial" w:eastAsia="Cambria" w:hAnsi="Arial" w:cs="Arial"/>
          <w:color w:val="000000" w:themeColor="text1"/>
          <w:szCs w:val="22"/>
        </w:rPr>
        <w:t>De manera que el cuadro se lea el artículo de la siguiente manera:</w:t>
      </w:r>
    </w:p>
    <w:p w14:paraId="40772B8D" w14:textId="77777777" w:rsidR="00822B62" w:rsidRPr="003C0838" w:rsidRDefault="00822B62" w:rsidP="00822B62">
      <w:pPr>
        <w:pStyle w:val="Textoindependiente"/>
        <w:keepLines/>
        <w:spacing w:before="120" w:line="252" w:lineRule="auto"/>
        <w:ind w:right="144"/>
        <w:jc w:val="both"/>
        <w:rPr>
          <w:rFonts w:ascii="Arial" w:hAnsi="Arial" w:cs="Arial"/>
          <w:i/>
          <w:iCs/>
          <w:szCs w:val="22"/>
        </w:rPr>
      </w:pPr>
      <w:r w:rsidRPr="003C0838">
        <w:rPr>
          <w:rFonts w:ascii="Arial" w:hAnsi="Arial" w:cs="Arial"/>
          <w:i/>
          <w:iCs/>
          <w:szCs w:val="22"/>
        </w:rPr>
        <w:t>“</w:t>
      </w:r>
      <w:r w:rsidRPr="003C0838">
        <w:rPr>
          <w:rFonts w:ascii="Arial" w:hAnsi="Arial" w:cs="Arial"/>
          <w:b/>
          <w:bCs/>
          <w:i/>
          <w:iCs/>
          <w:szCs w:val="22"/>
        </w:rPr>
        <w:t>Artículo 6.</w:t>
      </w:r>
      <w:r w:rsidRPr="003C0838">
        <w:rPr>
          <w:rFonts w:ascii="Arial" w:hAnsi="Arial" w:cs="Arial"/>
          <w:i/>
          <w:iCs/>
          <w:szCs w:val="22"/>
        </w:rPr>
        <w:t xml:space="preserve"> Declaraciones </w:t>
      </w:r>
    </w:p>
    <w:p w14:paraId="36CE97D1" w14:textId="77777777" w:rsidR="00822B62" w:rsidRPr="003C0838" w:rsidRDefault="00822B62" w:rsidP="00822B62">
      <w:pPr>
        <w:pStyle w:val="Textoindependiente"/>
        <w:keepLines/>
        <w:spacing w:before="120" w:line="252" w:lineRule="auto"/>
        <w:ind w:right="144"/>
        <w:jc w:val="both"/>
        <w:rPr>
          <w:rFonts w:ascii="Arial" w:hAnsi="Arial" w:cs="Arial"/>
          <w:i/>
          <w:iCs/>
          <w:szCs w:val="22"/>
        </w:rPr>
      </w:pPr>
      <w:r w:rsidRPr="003C0838">
        <w:rPr>
          <w:rFonts w:ascii="Arial" w:hAnsi="Arial" w:cs="Arial"/>
          <w:i/>
          <w:iCs/>
          <w:szCs w:val="22"/>
        </w:rPr>
        <w:t xml:space="preserve">Algunos de los roles ingresados al sistema deberán completar información de los aspectos que se detallan a continuación: </w:t>
      </w:r>
    </w:p>
    <w:p w14:paraId="2EA2ED5E" w14:textId="77777777" w:rsidR="00822B62" w:rsidRPr="003C0838" w:rsidRDefault="00822B62" w:rsidP="00822B62">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3C0838">
        <w:rPr>
          <w:rFonts w:ascii="Arial" w:hAnsi="Arial" w:cs="Arial"/>
          <w:b/>
          <w:bCs/>
          <w:i/>
          <w:iCs/>
          <w:szCs w:val="22"/>
        </w:rPr>
        <w:t>Formación académica</w:t>
      </w:r>
      <w:r w:rsidRPr="003C0838">
        <w:rPr>
          <w:rFonts w:ascii="Arial" w:hAnsi="Arial" w:cs="Arial"/>
          <w:i/>
          <w:iCs/>
          <w:szCs w:val="22"/>
        </w:rPr>
        <w:t>: Se relaciona con aspectos generales de los títulos académicos obtenidos por el Rol respectivo.</w:t>
      </w:r>
    </w:p>
    <w:p w14:paraId="3B78EAB8" w14:textId="77777777" w:rsidR="00822B62" w:rsidRPr="003C0838" w:rsidRDefault="00822B62" w:rsidP="00822B62">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3C0838">
        <w:rPr>
          <w:rFonts w:ascii="Arial" w:hAnsi="Arial" w:cs="Arial"/>
          <w:b/>
          <w:bCs/>
          <w:i/>
          <w:iCs/>
          <w:szCs w:val="22"/>
        </w:rPr>
        <w:t>Formación especializada</w:t>
      </w:r>
      <w:r w:rsidRPr="003C0838">
        <w:rPr>
          <w:rFonts w:ascii="Arial" w:hAnsi="Arial" w:cs="Arial"/>
          <w:i/>
          <w:iCs/>
          <w:szCs w:val="22"/>
        </w:rPr>
        <w:t>: Corresponde a la formación especializada que tiene el Rol respectivo y que se relaciona con las funciones desarrolladas.</w:t>
      </w:r>
    </w:p>
    <w:p w14:paraId="28D157D5" w14:textId="77777777" w:rsidR="00822B62" w:rsidRPr="003C0838" w:rsidRDefault="00822B62" w:rsidP="00822B62">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3C0838">
        <w:rPr>
          <w:rFonts w:ascii="Arial" w:hAnsi="Arial" w:cs="Arial"/>
          <w:b/>
          <w:bCs/>
          <w:i/>
          <w:iCs/>
          <w:szCs w:val="22"/>
        </w:rPr>
        <w:t>Historial laboral</w:t>
      </w:r>
      <w:r w:rsidRPr="003C0838">
        <w:rPr>
          <w:rFonts w:ascii="Arial" w:hAnsi="Arial" w:cs="Arial"/>
          <w:i/>
          <w:iCs/>
          <w:szCs w:val="22"/>
        </w:rPr>
        <w:t>: Se refiere al detalle de las últimas experiencias laborales del Rol donde se incluye información general del puesto y el periodo durante el cual se desarrolló.</w:t>
      </w:r>
    </w:p>
    <w:p w14:paraId="022348B2" w14:textId="77777777" w:rsidR="00822B62" w:rsidRPr="003C0838" w:rsidRDefault="00822B62" w:rsidP="00822B62">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3C0838">
        <w:rPr>
          <w:rFonts w:ascii="Arial" w:hAnsi="Arial" w:cs="Arial"/>
          <w:b/>
          <w:bCs/>
          <w:i/>
          <w:iCs/>
          <w:szCs w:val="22"/>
        </w:rPr>
        <w:t>Antecedentes disciplinarios y judiciales</w:t>
      </w:r>
      <w:r w:rsidRPr="003C0838">
        <w:rPr>
          <w:rFonts w:ascii="Arial" w:hAnsi="Arial" w:cs="Arial"/>
          <w:i/>
          <w:iCs/>
          <w:szCs w:val="22"/>
        </w:rPr>
        <w:t>: Corresponde a una serie de preguntas de respuesta cerrada, sobre algunos antecedentes penales del Rol respectivo. Para los casos afirmativos se debe incluir las observaciones respectivas.</w:t>
      </w:r>
    </w:p>
    <w:p w14:paraId="1EA87EA0" w14:textId="77777777" w:rsidR="00822B62" w:rsidRPr="003C0838" w:rsidRDefault="00822B62" w:rsidP="00822B62">
      <w:pPr>
        <w:pStyle w:val="Textoindependiente"/>
        <w:spacing w:before="120" w:line="252" w:lineRule="auto"/>
        <w:ind w:right="130"/>
        <w:jc w:val="both"/>
        <w:rPr>
          <w:rFonts w:ascii="Arial" w:hAnsi="Arial" w:cs="Arial"/>
          <w:i/>
          <w:iCs/>
          <w:szCs w:val="22"/>
        </w:rPr>
      </w:pPr>
      <w:r w:rsidRPr="003C0838">
        <w:rPr>
          <w:rFonts w:ascii="Arial" w:hAnsi="Arial" w:cs="Arial"/>
          <w:i/>
          <w:iCs/>
          <w:szCs w:val="22"/>
        </w:rPr>
        <w:t>A continuación, se detallan los Roles que deben llenar la declaración jurada, así como las secciones que se deben completar para los roles que conforman los puestos o instancias de control siguientes:</w:t>
      </w:r>
    </w:p>
    <w:tbl>
      <w:tblPr>
        <w:tblStyle w:val="Tablaconcuadrcula"/>
        <w:tblW w:w="9351" w:type="dxa"/>
        <w:tblLook w:val="04A0" w:firstRow="1" w:lastRow="0" w:firstColumn="1" w:lastColumn="0" w:noHBand="0" w:noVBand="1"/>
      </w:tblPr>
      <w:tblGrid>
        <w:gridCol w:w="3038"/>
        <w:gridCol w:w="1508"/>
        <w:gridCol w:w="1789"/>
        <w:gridCol w:w="1227"/>
        <w:gridCol w:w="1789"/>
      </w:tblGrid>
      <w:tr w:rsidR="00822B62" w:rsidRPr="003C0838" w14:paraId="6730866D" w14:textId="77777777" w:rsidTr="009A5E9B">
        <w:trPr>
          <w:trHeight w:val="492"/>
          <w:tblHeader/>
        </w:trPr>
        <w:tc>
          <w:tcPr>
            <w:tcW w:w="3740" w:type="dxa"/>
            <w:vAlign w:val="center"/>
          </w:tcPr>
          <w:p w14:paraId="410E8F2D" w14:textId="77777777" w:rsidR="00822B62" w:rsidRPr="003C0838" w:rsidRDefault="00822B62" w:rsidP="009A5E9B">
            <w:pPr>
              <w:pStyle w:val="Textoindependiente"/>
              <w:spacing w:before="120" w:line="252" w:lineRule="auto"/>
              <w:ind w:right="130"/>
              <w:jc w:val="center"/>
              <w:rPr>
                <w:rFonts w:ascii="Arial" w:hAnsi="Arial" w:cs="Arial"/>
                <w:b/>
                <w:bCs/>
                <w:i/>
                <w:iCs/>
                <w:szCs w:val="22"/>
              </w:rPr>
            </w:pPr>
            <w:r w:rsidRPr="003C0838">
              <w:rPr>
                <w:rFonts w:ascii="Arial" w:hAnsi="Arial" w:cs="Arial"/>
                <w:b/>
                <w:bCs/>
                <w:i/>
                <w:iCs/>
                <w:szCs w:val="22"/>
              </w:rPr>
              <w:t>Rol</w:t>
            </w:r>
          </w:p>
        </w:tc>
        <w:tc>
          <w:tcPr>
            <w:tcW w:w="1297" w:type="dxa"/>
            <w:vAlign w:val="center"/>
          </w:tcPr>
          <w:p w14:paraId="66979407" w14:textId="77777777" w:rsidR="00822B62" w:rsidRPr="003C0838" w:rsidRDefault="00822B62" w:rsidP="009A5E9B">
            <w:pPr>
              <w:pStyle w:val="Textoindependiente"/>
              <w:spacing w:before="120" w:line="252" w:lineRule="auto"/>
              <w:ind w:right="130"/>
              <w:jc w:val="center"/>
              <w:rPr>
                <w:rFonts w:ascii="Arial" w:hAnsi="Arial" w:cs="Arial"/>
                <w:b/>
                <w:bCs/>
                <w:i/>
                <w:iCs/>
                <w:szCs w:val="22"/>
              </w:rPr>
            </w:pPr>
            <w:r w:rsidRPr="003C0838">
              <w:rPr>
                <w:rFonts w:ascii="Arial" w:hAnsi="Arial" w:cs="Arial"/>
                <w:b/>
                <w:bCs/>
                <w:i/>
                <w:iCs/>
                <w:szCs w:val="22"/>
              </w:rPr>
              <w:t>Formación Académica</w:t>
            </w:r>
          </w:p>
        </w:tc>
        <w:tc>
          <w:tcPr>
            <w:tcW w:w="1527" w:type="dxa"/>
            <w:vAlign w:val="center"/>
          </w:tcPr>
          <w:p w14:paraId="6016B2D9" w14:textId="77777777" w:rsidR="00822B62" w:rsidRPr="003C0838" w:rsidRDefault="00822B62" w:rsidP="009A5E9B">
            <w:pPr>
              <w:pStyle w:val="Textoindependiente"/>
              <w:spacing w:before="120" w:line="252" w:lineRule="auto"/>
              <w:ind w:right="130"/>
              <w:jc w:val="center"/>
              <w:rPr>
                <w:rFonts w:ascii="Arial" w:hAnsi="Arial" w:cs="Arial"/>
                <w:b/>
                <w:bCs/>
                <w:i/>
                <w:iCs/>
                <w:szCs w:val="22"/>
              </w:rPr>
            </w:pPr>
            <w:r w:rsidRPr="003C0838">
              <w:rPr>
                <w:rFonts w:ascii="Arial" w:hAnsi="Arial" w:cs="Arial"/>
                <w:b/>
                <w:bCs/>
                <w:i/>
                <w:iCs/>
                <w:szCs w:val="22"/>
              </w:rPr>
              <w:t>Formación Especializada</w:t>
            </w:r>
          </w:p>
        </w:tc>
        <w:tc>
          <w:tcPr>
            <w:tcW w:w="1210" w:type="dxa"/>
            <w:vAlign w:val="center"/>
          </w:tcPr>
          <w:p w14:paraId="61D814A8" w14:textId="77777777" w:rsidR="00822B62" w:rsidRPr="003C0838" w:rsidRDefault="00822B62" w:rsidP="009A5E9B">
            <w:pPr>
              <w:pStyle w:val="Textoindependiente"/>
              <w:spacing w:before="120" w:line="252" w:lineRule="auto"/>
              <w:ind w:right="130"/>
              <w:jc w:val="center"/>
              <w:rPr>
                <w:rFonts w:ascii="Arial" w:hAnsi="Arial" w:cs="Arial"/>
                <w:b/>
                <w:bCs/>
                <w:i/>
                <w:iCs/>
                <w:color w:val="000000" w:themeColor="text1"/>
                <w:szCs w:val="22"/>
              </w:rPr>
            </w:pPr>
            <w:r w:rsidRPr="003C0838">
              <w:rPr>
                <w:rFonts w:ascii="Arial" w:hAnsi="Arial" w:cs="Arial"/>
                <w:b/>
                <w:bCs/>
                <w:i/>
                <w:iCs/>
                <w:color w:val="000000" w:themeColor="text1"/>
                <w:szCs w:val="22"/>
              </w:rPr>
              <w:t>Historial laboral</w:t>
            </w:r>
          </w:p>
        </w:tc>
        <w:tc>
          <w:tcPr>
            <w:tcW w:w="1577" w:type="dxa"/>
            <w:vAlign w:val="center"/>
          </w:tcPr>
          <w:p w14:paraId="399D6B77" w14:textId="77777777" w:rsidR="00822B62" w:rsidRPr="003C0838" w:rsidRDefault="00822B62" w:rsidP="009A5E9B">
            <w:pPr>
              <w:pStyle w:val="Textoindependiente"/>
              <w:spacing w:before="120" w:line="252" w:lineRule="auto"/>
              <w:ind w:right="130"/>
              <w:jc w:val="center"/>
              <w:rPr>
                <w:rFonts w:ascii="Arial" w:hAnsi="Arial" w:cs="Arial"/>
                <w:b/>
                <w:bCs/>
                <w:i/>
                <w:iCs/>
                <w:color w:val="000000" w:themeColor="text1"/>
                <w:szCs w:val="22"/>
              </w:rPr>
            </w:pPr>
            <w:r w:rsidRPr="003C0838">
              <w:rPr>
                <w:rFonts w:ascii="Arial" w:hAnsi="Arial" w:cs="Arial"/>
                <w:b/>
                <w:bCs/>
                <w:i/>
                <w:iCs/>
                <w:color w:val="000000" w:themeColor="text1"/>
                <w:szCs w:val="22"/>
              </w:rPr>
              <w:t>Antecedentes disciplinarios y judiciales</w:t>
            </w:r>
          </w:p>
        </w:tc>
      </w:tr>
      <w:tr w:rsidR="00822B62" w:rsidRPr="003C0838" w14:paraId="1F85F0DA" w14:textId="77777777" w:rsidTr="009A5E9B">
        <w:trPr>
          <w:trHeight w:val="283"/>
        </w:trPr>
        <w:tc>
          <w:tcPr>
            <w:tcW w:w="3740" w:type="dxa"/>
          </w:tcPr>
          <w:p w14:paraId="4BA1E767"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Órgano director</w:t>
            </w:r>
          </w:p>
          <w:p w14:paraId="1D373229"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lastRenderedPageBreak/>
              <w:t>Presidente</w:t>
            </w:r>
          </w:p>
          <w:p w14:paraId="698C1D44"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Secretario</w:t>
            </w:r>
          </w:p>
          <w:p w14:paraId="3F4BB9C2"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Tesorero</w:t>
            </w:r>
          </w:p>
          <w:p w14:paraId="57220B36"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Vicepresidente</w:t>
            </w:r>
          </w:p>
          <w:p w14:paraId="5014F840"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Suplente</w:t>
            </w:r>
          </w:p>
          <w:p w14:paraId="4F847CBA"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Presidente ejecutivo</w:t>
            </w:r>
          </w:p>
          <w:p w14:paraId="28B1BE5E"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Otro miembro</w:t>
            </w:r>
          </w:p>
          <w:p w14:paraId="45E0EAF9"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Miembro Independiente</w:t>
            </w:r>
          </w:p>
        </w:tc>
        <w:tc>
          <w:tcPr>
            <w:tcW w:w="1297" w:type="dxa"/>
            <w:vAlign w:val="center"/>
          </w:tcPr>
          <w:p w14:paraId="60A32F97"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lastRenderedPageBreak/>
              <w:t>X</w:t>
            </w:r>
          </w:p>
        </w:tc>
        <w:tc>
          <w:tcPr>
            <w:tcW w:w="1527" w:type="dxa"/>
            <w:vAlign w:val="center"/>
          </w:tcPr>
          <w:p w14:paraId="6F65AB97"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vAlign w:val="center"/>
          </w:tcPr>
          <w:p w14:paraId="2A74A3BD"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vAlign w:val="center"/>
          </w:tcPr>
          <w:p w14:paraId="57BA4214"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477B027B" w14:textId="77777777" w:rsidTr="009A5E9B">
        <w:trPr>
          <w:trHeight w:val="283"/>
        </w:trPr>
        <w:tc>
          <w:tcPr>
            <w:tcW w:w="3740" w:type="dxa"/>
          </w:tcPr>
          <w:p w14:paraId="7075B123"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Alta Gerencia</w:t>
            </w:r>
          </w:p>
          <w:p w14:paraId="6E1972AA"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Gerente general</w:t>
            </w:r>
          </w:p>
          <w:p w14:paraId="6150D3C6"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Representante legal</w:t>
            </w:r>
          </w:p>
          <w:p w14:paraId="74D9420C"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Apoderado</w:t>
            </w:r>
          </w:p>
          <w:p w14:paraId="4DC7AE82"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Gerente a.i.</w:t>
            </w:r>
          </w:p>
          <w:p w14:paraId="007E9DA7"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Subgerente general</w:t>
            </w:r>
          </w:p>
          <w:p w14:paraId="1472BCC7"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Otro puesto gerencial (Director)</w:t>
            </w:r>
          </w:p>
          <w:p w14:paraId="10C0DF1C"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Interventor</w:t>
            </w:r>
          </w:p>
          <w:p w14:paraId="523BF8B8"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Interventor adjunto</w:t>
            </w:r>
          </w:p>
          <w:p w14:paraId="61C18E3C"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Contador interventor</w:t>
            </w:r>
          </w:p>
          <w:p w14:paraId="597A7ECB" w14:textId="77777777" w:rsidR="00822B62" w:rsidRPr="003C0838" w:rsidRDefault="00822B62" w:rsidP="009A5E9B">
            <w:pPr>
              <w:pStyle w:val="Textoindependiente"/>
              <w:spacing w:before="120" w:line="252" w:lineRule="auto"/>
              <w:ind w:left="708" w:right="130"/>
              <w:jc w:val="both"/>
              <w:rPr>
                <w:rFonts w:ascii="Arial" w:hAnsi="Arial" w:cs="Arial"/>
                <w:i/>
                <w:iCs/>
                <w:color w:val="000000" w:themeColor="text1"/>
                <w:szCs w:val="22"/>
              </w:rPr>
            </w:pPr>
            <w:r w:rsidRPr="003C0838">
              <w:rPr>
                <w:rFonts w:ascii="Arial" w:hAnsi="Arial" w:cs="Arial"/>
                <w:i/>
                <w:iCs/>
                <w:color w:val="000000" w:themeColor="text1"/>
                <w:szCs w:val="22"/>
              </w:rPr>
              <w:t>Aprobador de Roles</w:t>
            </w:r>
          </w:p>
        </w:tc>
        <w:tc>
          <w:tcPr>
            <w:tcW w:w="1297" w:type="dxa"/>
            <w:vAlign w:val="center"/>
          </w:tcPr>
          <w:p w14:paraId="4B5F1A45"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27" w:type="dxa"/>
            <w:vAlign w:val="center"/>
          </w:tcPr>
          <w:p w14:paraId="1A7FB1D2"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vAlign w:val="center"/>
          </w:tcPr>
          <w:p w14:paraId="2FD57638"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vAlign w:val="center"/>
          </w:tcPr>
          <w:p w14:paraId="2B250D46"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1CFE9291" w14:textId="77777777" w:rsidTr="009A5E9B">
        <w:trPr>
          <w:trHeight w:val="283"/>
        </w:trPr>
        <w:tc>
          <w:tcPr>
            <w:tcW w:w="3740" w:type="dxa"/>
          </w:tcPr>
          <w:p w14:paraId="551B1089"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Oficial de Cumplimiento</w:t>
            </w:r>
          </w:p>
        </w:tc>
        <w:tc>
          <w:tcPr>
            <w:tcW w:w="1297" w:type="dxa"/>
          </w:tcPr>
          <w:p w14:paraId="0A56282C"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27" w:type="dxa"/>
          </w:tcPr>
          <w:p w14:paraId="264FCFA4"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tcPr>
          <w:p w14:paraId="5EDD8E22"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tcPr>
          <w:p w14:paraId="74A29A18"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60D52BF4" w14:textId="77777777" w:rsidTr="009A5E9B">
        <w:trPr>
          <w:trHeight w:val="283"/>
        </w:trPr>
        <w:tc>
          <w:tcPr>
            <w:tcW w:w="3740" w:type="dxa"/>
          </w:tcPr>
          <w:p w14:paraId="6D49844A"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Oficial de Cumplimiento adjunto</w:t>
            </w:r>
          </w:p>
        </w:tc>
        <w:tc>
          <w:tcPr>
            <w:tcW w:w="1297" w:type="dxa"/>
          </w:tcPr>
          <w:p w14:paraId="3864ECE4"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27" w:type="dxa"/>
          </w:tcPr>
          <w:p w14:paraId="12E0B0C9"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tcPr>
          <w:p w14:paraId="50EACD36"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tcPr>
          <w:p w14:paraId="5ACF6150"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076E3BCB" w14:textId="77777777" w:rsidTr="009A5E9B">
        <w:trPr>
          <w:trHeight w:val="283"/>
        </w:trPr>
        <w:tc>
          <w:tcPr>
            <w:tcW w:w="3740" w:type="dxa"/>
          </w:tcPr>
          <w:p w14:paraId="6D040D13"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Auditor Interno</w:t>
            </w:r>
          </w:p>
        </w:tc>
        <w:tc>
          <w:tcPr>
            <w:tcW w:w="1297" w:type="dxa"/>
          </w:tcPr>
          <w:p w14:paraId="4F767F26"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27" w:type="dxa"/>
          </w:tcPr>
          <w:p w14:paraId="0FF8A85A"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tcPr>
          <w:p w14:paraId="515F4C7A"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tcPr>
          <w:p w14:paraId="5005BE9C" w14:textId="77777777" w:rsidR="00822B62" w:rsidRPr="003C0838" w:rsidRDefault="00822B62" w:rsidP="009A5E9B">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2A2D3145" w14:textId="77777777" w:rsidTr="000439B6">
        <w:trPr>
          <w:trHeight w:val="283"/>
        </w:trPr>
        <w:tc>
          <w:tcPr>
            <w:tcW w:w="3740" w:type="dxa"/>
          </w:tcPr>
          <w:p w14:paraId="2AF89B69"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Gestor de Portafolios</w:t>
            </w:r>
          </w:p>
          <w:p w14:paraId="1E6EDB9F"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general titular</w:t>
            </w:r>
          </w:p>
          <w:p w14:paraId="1DEC1963"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lastRenderedPageBreak/>
              <w:t>Gestor general suplente</w:t>
            </w:r>
          </w:p>
          <w:p w14:paraId="0596AE67"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financiera titular</w:t>
            </w:r>
          </w:p>
          <w:p w14:paraId="00AD6B2E"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financiera suplente</w:t>
            </w:r>
          </w:p>
          <w:p w14:paraId="17F57B4F"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inmobiliaria titular</w:t>
            </w:r>
          </w:p>
          <w:p w14:paraId="3F8856FF"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inmobiliaria suplente</w:t>
            </w:r>
          </w:p>
          <w:p w14:paraId="6C7E5D0C"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privada</w:t>
            </w:r>
          </w:p>
          <w:p w14:paraId="46C486CD" w14:textId="77777777" w:rsidR="00822B62" w:rsidRPr="003C0838" w:rsidRDefault="00822B62" w:rsidP="009A5E9B">
            <w:pPr>
              <w:pStyle w:val="Textoindependiente"/>
              <w:spacing w:after="0" w:line="360" w:lineRule="auto"/>
              <w:ind w:left="709" w:right="130"/>
              <w:jc w:val="both"/>
              <w:rPr>
                <w:rFonts w:ascii="Arial" w:hAnsi="Arial" w:cs="Arial"/>
                <w:i/>
                <w:iCs/>
                <w:color w:val="000000" w:themeColor="text1"/>
                <w:szCs w:val="22"/>
              </w:rPr>
            </w:pPr>
            <w:r w:rsidRPr="003C0838">
              <w:rPr>
                <w:rFonts w:ascii="Arial" w:hAnsi="Arial" w:cs="Arial"/>
                <w:i/>
                <w:iCs/>
                <w:color w:val="000000" w:themeColor="text1"/>
                <w:szCs w:val="22"/>
              </w:rPr>
              <w:t>Gestor de cartera de oferta pública</w:t>
            </w:r>
          </w:p>
        </w:tc>
        <w:tc>
          <w:tcPr>
            <w:tcW w:w="1297" w:type="dxa"/>
            <w:vAlign w:val="center"/>
          </w:tcPr>
          <w:p w14:paraId="7C74409C" w14:textId="77777777" w:rsidR="00822B62" w:rsidRPr="003C0838" w:rsidRDefault="00822B62" w:rsidP="000439B6">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lastRenderedPageBreak/>
              <w:t>X</w:t>
            </w:r>
          </w:p>
        </w:tc>
        <w:tc>
          <w:tcPr>
            <w:tcW w:w="1527" w:type="dxa"/>
            <w:vAlign w:val="center"/>
          </w:tcPr>
          <w:p w14:paraId="12DF8E38" w14:textId="77777777" w:rsidR="00822B62" w:rsidRPr="003C0838" w:rsidRDefault="00822B62" w:rsidP="000439B6">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210" w:type="dxa"/>
            <w:vAlign w:val="center"/>
          </w:tcPr>
          <w:p w14:paraId="255FC367" w14:textId="77777777" w:rsidR="00822B62" w:rsidRPr="003C0838" w:rsidRDefault="00822B62" w:rsidP="000439B6">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c>
          <w:tcPr>
            <w:tcW w:w="1577" w:type="dxa"/>
            <w:vAlign w:val="center"/>
          </w:tcPr>
          <w:p w14:paraId="65D7FDB7" w14:textId="77777777" w:rsidR="00822B62" w:rsidRPr="003C0838" w:rsidRDefault="00822B62" w:rsidP="000439B6">
            <w:pPr>
              <w:pStyle w:val="Textoindependiente"/>
              <w:spacing w:before="120" w:line="252" w:lineRule="auto"/>
              <w:ind w:right="130"/>
              <w:jc w:val="center"/>
              <w:rPr>
                <w:rFonts w:ascii="Arial" w:hAnsi="Arial" w:cs="Arial"/>
                <w:i/>
                <w:iCs/>
                <w:color w:val="000000" w:themeColor="text1"/>
                <w:szCs w:val="22"/>
              </w:rPr>
            </w:pPr>
            <w:r w:rsidRPr="003C0838">
              <w:rPr>
                <w:rFonts w:ascii="Arial" w:hAnsi="Arial" w:cs="Arial"/>
                <w:i/>
                <w:iCs/>
                <w:color w:val="000000" w:themeColor="text1"/>
                <w:szCs w:val="22"/>
              </w:rPr>
              <w:t>X</w:t>
            </w:r>
          </w:p>
        </w:tc>
      </w:tr>
      <w:tr w:rsidR="00822B62" w:rsidRPr="003C0838" w14:paraId="6E64CB44" w14:textId="77777777" w:rsidTr="009A5E9B">
        <w:trPr>
          <w:trHeight w:val="283"/>
        </w:trPr>
        <w:tc>
          <w:tcPr>
            <w:tcW w:w="3740" w:type="dxa"/>
          </w:tcPr>
          <w:p w14:paraId="22C7EB1A" w14:textId="77777777" w:rsidR="00822B62" w:rsidRPr="003C0838" w:rsidRDefault="00822B62" w:rsidP="009A5E9B">
            <w:pPr>
              <w:pStyle w:val="Textoindependiente"/>
              <w:spacing w:before="120" w:line="252" w:lineRule="auto"/>
              <w:ind w:right="130"/>
              <w:jc w:val="both"/>
              <w:rPr>
                <w:rFonts w:ascii="Arial" w:hAnsi="Arial" w:cs="Arial"/>
                <w:i/>
                <w:iCs/>
                <w:color w:val="000000" w:themeColor="text1"/>
                <w:szCs w:val="22"/>
              </w:rPr>
            </w:pPr>
            <w:r w:rsidRPr="003C0838">
              <w:rPr>
                <w:rFonts w:ascii="Arial" w:hAnsi="Arial" w:cs="Arial"/>
                <w:i/>
                <w:iCs/>
                <w:color w:val="000000" w:themeColor="text1"/>
                <w:szCs w:val="22"/>
              </w:rPr>
              <w:t xml:space="preserve">Consejo de Calificación </w:t>
            </w:r>
          </w:p>
        </w:tc>
        <w:tc>
          <w:tcPr>
            <w:tcW w:w="1297" w:type="dxa"/>
            <w:vAlign w:val="center"/>
          </w:tcPr>
          <w:p w14:paraId="6A92FF69" w14:textId="77777777" w:rsidR="00822B62" w:rsidRPr="003C0838" w:rsidRDefault="00822B62" w:rsidP="009A5E9B">
            <w:pPr>
              <w:pStyle w:val="Textoindependiente"/>
              <w:spacing w:before="120" w:line="252" w:lineRule="auto"/>
              <w:ind w:right="130"/>
              <w:jc w:val="center"/>
              <w:rPr>
                <w:rFonts w:ascii="Arial" w:hAnsi="Arial" w:cs="Arial"/>
                <w:i/>
                <w:iCs/>
                <w:strike/>
                <w:color w:val="000000" w:themeColor="text1"/>
                <w:szCs w:val="22"/>
              </w:rPr>
            </w:pPr>
            <w:r w:rsidRPr="003C0838">
              <w:rPr>
                <w:rFonts w:ascii="Arial" w:hAnsi="Arial" w:cs="Arial"/>
                <w:i/>
                <w:iCs/>
                <w:color w:val="000000" w:themeColor="text1"/>
                <w:szCs w:val="22"/>
              </w:rPr>
              <w:t>X</w:t>
            </w:r>
          </w:p>
        </w:tc>
        <w:tc>
          <w:tcPr>
            <w:tcW w:w="1527" w:type="dxa"/>
            <w:vAlign w:val="center"/>
          </w:tcPr>
          <w:p w14:paraId="245D5D7A" w14:textId="77777777" w:rsidR="00822B62" w:rsidRPr="003C0838" w:rsidRDefault="00822B62" w:rsidP="009A5E9B">
            <w:pPr>
              <w:pStyle w:val="Textoindependiente"/>
              <w:spacing w:before="120" w:line="252" w:lineRule="auto"/>
              <w:ind w:right="130"/>
              <w:jc w:val="center"/>
              <w:rPr>
                <w:rFonts w:ascii="Arial" w:hAnsi="Arial" w:cs="Arial"/>
                <w:i/>
                <w:iCs/>
                <w:strike/>
                <w:color w:val="000000" w:themeColor="text1"/>
                <w:szCs w:val="22"/>
              </w:rPr>
            </w:pPr>
            <w:r w:rsidRPr="003C0838">
              <w:rPr>
                <w:rFonts w:ascii="Arial" w:hAnsi="Arial" w:cs="Arial"/>
                <w:i/>
                <w:iCs/>
                <w:color w:val="000000" w:themeColor="text1"/>
                <w:szCs w:val="22"/>
              </w:rPr>
              <w:t>X</w:t>
            </w:r>
          </w:p>
        </w:tc>
        <w:tc>
          <w:tcPr>
            <w:tcW w:w="1210" w:type="dxa"/>
            <w:vAlign w:val="center"/>
          </w:tcPr>
          <w:p w14:paraId="2CD7CE3D" w14:textId="77777777" w:rsidR="00822B62" w:rsidRPr="003C0838" w:rsidRDefault="00822B62" w:rsidP="009A5E9B">
            <w:pPr>
              <w:pStyle w:val="Textoindependiente"/>
              <w:spacing w:before="120" w:line="252" w:lineRule="auto"/>
              <w:ind w:right="130"/>
              <w:jc w:val="center"/>
              <w:rPr>
                <w:rFonts w:ascii="Arial" w:hAnsi="Arial" w:cs="Arial"/>
                <w:i/>
                <w:iCs/>
                <w:strike/>
                <w:color w:val="000000" w:themeColor="text1"/>
                <w:szCs w:val="22"/>
              </w:rPr>
            </w:pPr>
            <w:r w:rsidRPr="003C0838">
              <w:rPr>
                <w:rFonts w:ascii="Arial" w:hAnsi="Arial" w:cs="Arial"/>
                <w:i/>
                <w:iCs/>
                <w:color w:val="000000" w:themeColor="text1"/>
                <w:szCs w:val="22"/>
              </w:rPr>
              <w:t>X</w:t>
            </w:r>
          </w:p>
        </w:tc>
        <w:tc>
          <w:tcPr>
            <w:tcW w:w="1577" w:type="dxa"/>
            <w:vAlign w:val="center"/>
          </w:tcPr>
          <w:p w14:paraId="6E0FC77C" w14:textId="77777777" w:rsidR="00822B62" w:rsidRPr="003C0838" w:rsidRDefault="00822B62" w:rsidP="009A5E9B">
            <w:pPr>
              <w:pStyle w:val="Textoindependiente"/>
              <w:spacing w:before="120" w:line="252" w:lineRule="auto"/>
              <w:ind w:right="130"/>
              <w:jc w:val="center"/>
              <w:rPr>
                <w:rFonts w:ascii="Arial" w:hAnsi="Arial" w:cs="Arial"/>
                <w:i/>
                <w:iCs/>
                <w:strike/>
                <w:color w:val="000000" w:themeColor="text1"/>
                <w:szCs w:val="22"/>
              </w:rPr>
            </w:pPr>
          </w:p>
        </w:tc>
      </w:tr>
    </w:tbl>
    <w:p w14:paraId="2BD6ED36" w14:textId="77777777" w:rsidR="00822B62" w:rsidRPr="003C0838" w:rsidRDefault="00D56D0A" w:rsidP="00822B62">
      <w:pPr>
        <w:pStyle w:val="Textoindependiente3"/>
        <w:spacing w:after="0"/>
        <w:jc w:val="both"/>
        <w:rPr>
          <w:rFonts w:ascii="Arial" w:hAnsi="Arial" w:cs="Arial"/>
          <w:b/>
          <w:color w:val="000000" w:themeColor="text1"/>
          <w:sz w:val="22"/>
          <w:szCs w:val="22"/>
          <w:lang w:val="es-CR"/>
        </w:rPr>
      </w:pPr>
      <w:r w:rsidRPr="003C0838">
        <w:rPr>
          <w:rFonts w:ascii="Arial" w:hAnsi="Arial" w:cs="Arial"/>
          <w:i/>
          <w:iCs/>
          <w:sz w:val="22"/>
          <w:szCs w:val="22"/>
        </w:rPr>
        <w:t>”</w:t>
      </w:r>
    </w:p>
    <w:p w14:paraId="6F56EDAE" w14:textId="77777777" w:rsidR="00822B62" w:rsidRPr="003C0838" w:rsidRDefault="00822B62" w:rsidP="00822B62">
      <w:pPr>
        <w:jc w:val="both"/>
        <w:rPr>
          <w:rFonts w:ascii="Arial" w:hAnsi="Arial" w:cs="Arial"/>
          <w:b/>
          <w:bCs/>
          <w:color w:val="000000" w:themeColor="text1"/>
          <w:szCs w:val="22"/>
          <w:lang w:val="es-ES" w:eastAsia="es-CR"/>
        </w:rPr>
      </w:pPr>
      <w:r w:rsidRPr="003C0838">
        <w:rPr>
          <w:rFonts w:ascii="Arial" w:hAnsi="Arial" w:cs="Arial"/>
          <w:b/>
          <w:bCs/>
          <w:color w:val="000000" w:themeColor="text1"/>
          <w:szCs w:val="22"/>
          <w:lang w:val="es-ES" w:eastAsia="es-CR"/>
        </w:rPr>
        <w:t>Artículo 2. Vigencia</w:t>
      </w:r>
    </w:p>
    <w:p w14:paraId="74E92DD6" w14:textId="77777777" w:rsidR="00822B62" w:rsidRPr="003C0838" w:rsidRDefault="00822B62" w:rsidP="00822B62">
      <w:pPr>
        <w:jc w:val="both"/>
        <w:rPr>
          <w:rFonts w:ascii="Arial" w:hAnsi="Arial" w:cs="Arial"/>
          <w:color w:val="000000" w:themeColor="text1"/>
          <w:szCs w:val="22"/>
          <w:lang w:val="es-ES" w:eastAsia="es-CR"/>
        </w:rPr>
      </w:pPr>
    </w:p>
    <w:p w14:paraId="30904DE0" w14:textId="77777777" w:rsidR="003A228D" w:rsidRPr="003C0838" w:rsidRDefault="003A228D" w:rsidP="003A228D">
      <w:pPr>
        <w:jc w:val="both"/>
        <w:rPr>
          <w:rFonts w:ascii="Arial" w:hAnsi="Arial" w:cs="Arial"/>
          <w:color w:val="000000" w:themeColor="text1"/>
          <w:szCs w:val="22"/>
          <w:lang w:val="es-ES" w:eastAsia="es-CR"/>
        </w:rPr>
      </w:pPr>
      <w:r w:rsidRPr="003C0838">
        <w:rPr>
          <w:rFonts w:ascii="Arial" w:hAnsi="Arial" w:cs="Arial"/>
          <w:color w:val="000000" w:themeColor="text1"/>
          <w:szCs w:val="22"/>
          <w:lang w:val="es-ES" w:eastAsia="es-CR"/>
        </w:rPr>
        <w:t>Rige a partir del 11 de setiembre del 2023.</w:t>
      </w:r>
    </w:p>
    <w:p w14:paraId="7805912C" w14:textId="77777777" w:rsidR="00291B9C" w:rsidRPr="003C0838" w:rsidRDefault="00291B9C" w:rsidP="00F14D96">
      <w:pPr>
        <w:jc w:val="both"/>
        <w:rPr>
          <w:rFonts w:ascii="Arial" w:hAnsi="Arial" w:cs="Arial"/>
          <w:color w:val="000000" w:themeColor="text1"/>
          <w:szCs w:val="22"/>
          <w:lang w:val="es-ES" w:eastAsia="es-CR"/>
        </w:rPr>
      </w:pPr>
    </w:p>
    <w:p w14:paraId="089F3D8C" w14:textId="77777777" w:rsidR="00291B9C" w:rsidRPr="003C0838" w:rsidRDefault="00291B9C" w:rsidP="00F14D96">
      <w:pPr>
        <w:jc w:val="both"/>
        <w:rPr>
          <w:rFonts w:ascii="Arial" w:hAnsi="Arial" w:cs="Arial"/>
          <w:color w:val="000000" w:themeColor="text1"/>
          <w:szCs w:val="22"/>
          <w:lang w:val="es-ES" w:eastAsia="es-CR"/>
        </w:rPr>
      </w:pPr>
      <w:r w:rsidRPr="003C0838">
        <w:rPr>
          <w:rFonts w:ascii="Arial" w:eastAsia="Calibri" w:hAnsi="Arial" w:cs="Arial"/>
          <w:noProof/>
          <w:szCs w:val="22"/>
        </w:rPr>
        <w:drawing>
          <wp:inline distT="0" distB="0" distL="0" distR="0" wp14:anchorId="6008E160" wp14:editId="4FBAFE95">
            <wp:extent cx="2732405" cy="32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sectPr w:rsidR="00291B9C" w:rsidRPr="003C0838" w:rsidSect="00291B9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8458" w14:textId="77777777" w:rsidR="00770E5A" w:rsidRDefault="00770E5A" w:rsidP="00123BF7">
      <w:r>
        <w:separator/>
      </w:r>
    </w:p>
  </w:endnote>
  <w:endnote w:type="continuationSeparator" w:id="0">
    <w:p w14:paraId="50D10A6B" w14:textId="77777777" w:rsidR="00770E5A" w:rsidRDefault="00770E5A" w:rsidP="0012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DC65" w14:textId="77777777" w:rsidR="003C0838" w:rsidRDefault="003C08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4D8C" w14:textId="77777777" w:rsidR="003C0838" w:rsidRPr="002C46A1" w:rsidRDefault="003C0838" w:rsidP="003C0838">
    <w:pPr>
      <w:pStyle w:val="Piedepgina"/>
      <w:rPr>
        <w:rFonts w:ascii="Arial" w:hAnsi="Arial" w:cs="Arial"/>
        <w:color w:val="000000" w:themeColor="text1"/>
        <w:spacing w:val="60"/>
      </w:rPr>
    </w:pPr>
  </w:p>
  <w:p w14:paraId="3367FB14" w14:textId="49A3A5F4" w:rsidR="003C0838" w:rsidRPr="003C0838" w:rsidRDefault="003C0838" w:rsidP="003C0838">
    <w:pPr>
      <w:pStyle w:val="Piedepgina"/>
      <w:pBdr>
        <w:top w:val="single" w:sz="4" w:space="1" w:color="D9D9D9"/>
      </w:pBdr>
      <w:rPr>
        <w:b/>
        <w:bCs/>
      </w:rPr>
    </w:pPr>
    <w:r>
      <w:rPr>
        <w:rFonts w:ascii="Arial" w:hAnsi="Arial" w:cs="Arial"/>
        <w:b/>
        <w:bCs/>
        <w:noProof/>
        <w:color w:val="1B75BB"/>
        <w:lang w:val="en-US"/>
      </w:rPr>
      <mc:AlternateContent>
        <mc:Choice Requires="wps">
          <w:drawing>
            <wp:anchor distT="0" distB="0" distL="114300" distR="114300" simplePos="0" relativeHeight="251661312" behindDoc="0" locked="0" layoutInCell="0" allowOverlap="1" wp14:anchorId="5F203DC5" wp14:editId="72EEA088">
              <wp:simplePos x="0" y="0"/>
              <wp:positionH relativeFrom="page">
                <wp:posOffset>0</wp:posOffset>
              </wp:positionH>
              <wp:positionV relativeFrom="page">
                <wp:posOffset>9594215</wp:posOffset>
              </wp:positionV>
              <wp:extent cx="7772400" cy="273050"/>
              <wp:effectExtent l="0" t="0" r="0" b="12700"/>
              <wp:wrapNone/>
              <wp:docPr id="7" name="MSIPCM23664b7783f1e50381f47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83A87" w14:textId="262250B1" w:rsidR="003C0838" w:rsidRPr="006F63EA" w:rsidRDefault="003C0838" w:rsidP="003C0838">
                          <w:pPr>
                            <w:jc w:val="center"/>
                            <w:rPr>
                              <w:rFonts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203DC5" id="_x0000_t202" coordsize="21600,21600" o:spt="202" path="m,l,21600r21600,l21600,xe">
              <v:stroke joinstyle="miter"/>
              <v:path gradientshapeok="t" o:connecttype="rect"/>
            </v:shapetype>
            <v:shape id="MSIPCM23664b7783f1e50381f47aac"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6683A87" w14:textId="262250B1" w:rsidR="003C0838" w:rsidRPr="006F63EA" w:rsidRDefault="003C0838" w:rsidP="003C0838">
                    <w:pPr>
                      <w:jc w:val="center"/>
                      <w:rPr>
                        <w:rFonts w:cs="Calibri"/>
                        <w:color w:val="000000"/>
                        <w:sz w:val="20"/>
                      </w:rPr>
                    </w:pPr>
                  </w:p>
                </w:txbxContent>
              </v:textbox>
              <w10:wrap anchorx="page" anchory="page"/>
            </v:shape>
          </w:pict>
        </mc:Fallback>
      </mc:AlternateContent>
    </w:r>
    <w:r w:rsidRPr="000F6DD2">
      <w:rPr>
        <w:rFonts w:ascii="Arial" w:hAnsi="Arial" w:cs="Arial"/>
        <w:b/>
        <w:bCs/>
        <w:noProof/>
        <w:color w:val="1B75BB"/>
        <w:lang w:val="en-US"/>
      </w:rPr>
      <w:fldChar w:fldCharType="begin"/>
    </w:r>
    <w:r w:rsidRPr="000F6DD2">
      <w:rPr>
        <w:rFonts w:ascii="Arial" w:hAnsi="Arial" w:cs="Arial"/>
        <w:b/>
        <w:bCs/>
        <w:noProof/>
        <w:color w:val="1B75BB"/>
        <w:lang w:val="en-US"/>
      </w:rPr>
      <w:instrText>PAGE   \* MERGEFORMAT</w:instrText>
    </w:r>
    <w:r w:rsidRPr="000F6DD2">
      <w:rPr>
        <w:rFonts w:ascii="Arial" w:hAnsi="Arial" w:cs="Arial"/>
        <w:b/>
        <w:bCs/>
        <w:noProof/>
        <w:color w:val="1B75BB"/>
        <w:lang w:val="en-US"/>
      </w:rPr>
      <w:fldChar w:fldCharType="separate"/>
    </w:r>
    <w:r>
      <w:rPr>
        <w:rFonts w:ascii="Arial" w:hAnsi="Arial" w:cs="Arial"/>
        <w:b/>
        <w:bCs/>
        <w:noProof/>
        <w:color w:val="1B75BB"/>
        <w:lang w:val="en-US"/>
      </w:rPr>
      <w:t>2</w:t>
    </w:r>
    <w:r w:rsidRPr="000F6DD2">
      <w:rPr>
        <w:rFonts w:ascii="Arial" w:hAnsi="Arial" w:cs="Arial"/>
        <w:b/>
        <w:bCs/>
        <w:noProof/>
        <w:color w:val="1B75BB"/>
        <w:lang w:val="en-US"/>
      </w:rPr>
      <w:fldChar w:fldCharType="end"/>
    </w:r>
    <w:r w:rsidRPr="000F6DD2">
      <w:rPr>
        <w:rFonts w:ascii="Arial" w:hAnsi="Arial" w:cs="Arial"/>
        <w:b/>
        <w:bCs/>
        <w:noProof/>
        <w:color w:val="1B75BB"/>
        <w:lang w:val="en-US"/>
      </w:rPr>
      <w:t xml:space="preserve"> |</w:t>
    </w:r>
    <w:r>
      <w:rPr>
        <w:b/>
        <w:bCs/>
      </w:rPr>
      <w:t xml:space="preserve"> </w:t>
    </w:r>
    <w:r w:rsidRPr="005E3760">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ADE8" w14:textId="77777777" w:rsidR="003C0838" w:rsidRDefault="003C0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8ABF" w14:textId="77777777" w:rsidR="00770E5A" w:rsidRDefault="00770E5A" w:rsidP="00123BF7">
      <w:r>
        <w:separator/>
      </w:r>
    </w:p>
  </w:footnote>
  <w:footnote w:type="continuationSeparator" w:id="0">
    <w:p w14:paraId="3420715B" w14:textId="77777777" w:rsidR="00770E5A" w:rsidRDefault="00770E5A" w:rsidP="00123BF7">
      <w:r>
        <w:continuationSeparator/>
      </w:r>
    </w:p>
  </w:footnote>
  <w:footnote w:id="1">
    <w:p w14:paraId="5FC49276" w14:textId="7756016B" w:rsidR="0080703C" w:rsidRPr="003C0838" w:rsidRDefault="0080703C" w:rsidP="0080703C">
      <w:pPr>
        <w:pStyle w:val="Textonotapie"/>
        <w:jc w:val="both"/>
        <w:rPr>
          <w:rFonts w:ascii="Arial" w:hAnsi="Arial" w:cs="Arial"/>
        </w:rPr>
      </w:pPr>
      <w:r>
        <w:rPr>
          <w:rStyle w:val="Refdenotaalpie"/>
        </w:rPr>
        <w:footnoteRef/>
      </w:r>
      <w:r>
        <w:t xml:space="preserve"> </w:t>
      </w:r>
      <w:r>
        <w:rPr>
          <w:rFonts w:ascii="Arial" w:hAnsi="Arial" w:cs="Arial"/>
        </w:rPr>
        <w:t xml:space="preserve">Superintendencia General de Valores. Despacho del Superintendente. A las </w:t>
      </w:r>
      <w:r w:rsidR="006319CB">
        <w:rPr>
          <w:rFonts w:ascii="Arial" w:hAnsi="Arial" w:cs="Arial"/>
        </w:rPr>
        <w:t>catorce</w:t>
      </w:r>
      <w:r>
        <w:rPr>
          <w:rFonts w:ascii="Arial" w:hAnsi="Arial" w:cs="Arial"/>
        </w:rPr>
        <w:t xml:space="preserve"> horas </w:t>
      </w:r>
      <w:r w:rsidR="006319CB">
        <w:rPr>
          <w:rFonts w:ascii="Arial" w:hAnsi="Arial" w:cs="Arial"/>
        </w:rPr>
        <w:t xml:space="preserve">del siete </w:t>
      </w:r>
      <w:r>
        <w:rPr>
          <w:rFonts w:ascii="Arial" w:hAnsi="Arial" w:cs="Arial"/>
        </w:rPr>
        <w:t>de setiembre del dos mil veintitrés.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F09B" w14:textId="77777777" w:rsidR="003C0838" w:rsidRDefault="003C08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0092" w14:textId="77777777" w:rsidR="003C0838" w:rsidRDefault="003C0838" w:rsidP="003C0838">
    <w:pPr>
      <w:pStyle w:val="Encabezado"/>
      <w:jc w:val="right"/>
      <w:rPr>
        <w:rFonts w:cs="Arial"/>
        <w:i/>
        <w:noProof/>
        <w:sz w:val="20"/>
        <w:szCs w:val="20"/>
        <w:lang w:eastAsia="es-CR"/>
      </w:rPr>
    </w:pPr>
    <w:r>
      <w:rPr>
        <w:noProof/>
      </w:rPr>
      <mc:AlternateContent>
        <mc:Choice Requires="wps">
          <w:drawing>
            <wp:anchor distT="4294967292" distB="4294967292" distL="114300" distR="114300" simplePos="0" relativeHeight="251659264" behindDoc="0" locked="0" layoutInCell="1" allowOverlap="1" wp14:anchorId="126BF323" wp14:editId="525B524A">
              <wp:simplePos x="0" y="0"/>
              <wp:positionH relativeFrom="margin">
                <wp:align>right</wp:align>
              </wp:positionH>
              <wp:positionV relativeFrom="paragraph">
                <wp:posOffset>401320</wp:posOffset>
              </wp:positionV>
              <wp:extent cx="5588000" cy="12700"/>
              <wp:effectExtent l="0" t="0" r="31750"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3CFF" id="Conector recto 5"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8.8pt,31.6pt" to="82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" strokecolor="#1b75bb" strokeweight="1.5pt">
              <w10:wrap anchorx="margin"/>
            </v:line>
          </w:pict>
        </mc:Fallback>
      </mc:AlternateContent>
    </w:r>
    <w:r w:rsidRPr="00AC6C0D">
      <w:rPr>
        <w:rFonts w:cs="Arial"/>
        <w:i/>
        <w:noProof/>
        <w:sz w:val="20"/>
        <w:szCs w:val="20"/>
        <w:lang w:eastAsia="es-CR"/>
      </w:rPr>
      <w:drawing>
        <wp:inline distT="0" distB="0" distL="0" distR="0" wp14:anchorId="1470D327" wp14:editId="476132B8">
          <wp:extent cx="1581150" cy="390525"/>
          <wp:effectExtent l="0" t="0" r="0" b="9525"/>
          <wp:docPr id="3" name="Imagen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6EA5EC8" w14:textId="77777777" w:rsidR="00352CD5" w:rsidRDefault="00352C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74D1" w14:textId="77777777" w:rsidR="003C0838" w:rsidRDefault="003C08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39"/>
    <w:multiLevelType w:val="hybridMultilevel"/>
    <w:tmpl w:val="0B5E6D72"/>
    <w:lvl w:ilvl="0" w:tplc="140A0001">
      <w:start w:val="1"/>
      <w:numFmt w:val="bullet"/>
      <w:lvlText w:val=""/>
      <w:lvlJc w:val="left"/>
      <w:pPr>
        <w:ind w:left="2704" w:hanging="360"/>
      </w:pPr>
      <w:rPr>
        <w:rFonts w:ascii="Symbol" w:hAnsi="Symbol" w:hint="default"/>
      </w:rPr>
    </w:lvl>
    <w:lvl w:ilvl="1" w:tplc="140A0003" w:tentative="1">
      <w:start w:val="1"/>
      <w:numFmt w:val="bullet"/>
      <w:lvlText w:val="o"/>
      <w:lvlJc w:val="left"/>
      <w:pPr>
        <w:ind w:left="3424" w:hanging="360"/>
      </w:pPr>
      <w:rPr>
        <w:rFonts w:ascii="Courier New" w:hAnsi="Courier New" w:cs="Courier New" w:hint="default"/>
      </w:rPr>
    </w:lvl>
    <w:lvl w:ilvl="2" w:tplc="140A0005" w:tentative="1">
      <w:start w:val="1"/>
      <w:numFmt w:val="bullet"/>
      <w:lvlText w:val=""/>
      <w:lvlJc w:val="left"/>
      <w:pPr>
        <w:ind w:left="4144" w:hanging="360"/>
      </w:pPr>
      <w:rPr>
        <w:rFonts w:ascii="Wingdings" w:hAnsi="Wingdings" w:hint="default"/>
      </w:rPr>
    </w:lvl>
    <w:lvl w:ilvl="3" w:tplc="140A0001" w:tentative="1">
      <w:start w:val="1"/>
      <w:numFmt w:val="bullet"/>
      <w:lvlText w:val=""/>
      <w:lvlJc w:val="left"/>
      <w:pPr>
        <w:ind w:left="4864" w:hanging="360"/>
      </w:pPr>
      <w:rPr>
        <w:rFonts w:ascii="Symbol" w:hAnsi="Symbol" w:hint="default"/>
      </w:rPr>
    </w:lvl>
    <w:lvl w:ilvl="4" w:tplc="140A0003" w:tentative="1">
      <w:start w:val="1"/>
      <w:numFmt w:val="bullet"/>
      <w:lvlText w:val="o"/>
      <w:lvlJc w:val="left"/>
      <w:pPr>
        <w:ind w:left="5584" w:hanging="360"/>
      </w:pPr>
      <w:rPr>
        <w:rFonts w:ascii="Courier New" w:hAnsi="Courier New" w:cs="Courier New" w:hint="default"/>
      </w:rPr>
    </w:lvl>
    <w:lvl w:ilvl="5" w:tplc="140A0005" w:tentative="1">
      <w:start w:val="1"/>
      <w:numFmt w:val="bullet"/>
      <w:lvlText w:val=""/>
      <w:lvlJc w:val="left"/>
      <w:pPr>
        <w:ind w:left="6304" w:hanging="360"/>
      </w:pPr>
      <w:rPr>
        <w:rFonts w:ascii="Wingdings" w:hAnsi="Wingdings" w:hint="default"/>
      </w:rPr>
    </w:lvl>
    <w:lvl w:ilvl="6" w:tplc="140A0001" w:tentative="1">
      <w:start w:val="1"/>
      <w:numFmt w:val="bullet"/>
      <w:lvlText w:val=""/>
      <w:lvlJc w:val="left"/>
      <w:pPr>
        <w:ind w:left="7024" w:hanging="360"/>
      </w:pPr>
      <w:rPr>
        <w:rFonts w:ascii="Symbol" w:hAnsi="Symbol" w:hint="default"/>
      </w:rPr>
    </w:lvl>
    <w:lvl w:ilvl="7" w:tplc="140A0003" w:tentative="1">
      <w:start w:val="1"/>
      <w:numFmt w:val="bullet"/>
      <w:lvlText w:val="o"/>
      <w:lvlJc w:val="left"/>
      <w:pPr>
        <w:ind w:left="7744" w:hanging="360"/>
      </w:pPr>
      <w:rPr>
        <w:rFonts w:ascii="Courier New" w:hAnsi="Courier New" w:cs="Courier New" w:hint="default"/>
      </w:rPr>
    </w:lvl>
    <w:lvl w:ilvl="8" w:tplc="140A0005" w:tentative="1">
      <w:start w:val="1"/>
      <w:numFmt w:val="bullet"/>
      <w:lvlText w:val=""/>
      <w:lvlJc w:val="left"/>
      <w:pPr>
        <w:ind w:left="8464" w:hanging="360"/>
      </w:pPr>
      <w:rPr>
        <w:rFonts w:ascii="Wingdings" w:hAnsi="Wingdings" w:hint="default"/>
      </w:rPr>
    </w:lvl>
  </w:abstractNum>
  <w:abstractNum w:abstractNumId="1"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1DF3"/>
    <w:multiLevelType w:val="hybridMultilevel"/>
    <w:tmpl w:val="569632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3E76D4B"/>
    <w:multiLevelType w:val="hybridMultilevel"/>
    <w:tmpl w:val="28222946"/>
    <w:lvl w:ilvl="0" w:tplc="D40A2CA4">
      <w:start w:val="1"/>
      <w:numFmt w:val="lowerLetter"/>
      <w:lvlText w:val="%1)"/>
      <w:lvlJc w:val="left"/>
      <w:pPr>
        <w:ind w:left="1211"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7E5090D"/>
    <w:multiLevelType w:val="hybridMultilevel"/>
    <w:tmpl w:val="3D541BC2"/>
    <w:lvl w:ilvl="0" w:tplc="63F2945C">
      <w:start w:val="1"/>
      <w:numFmt w:val="lowerLetter"/>
      <w:lvlText w:val="%1."/>
      <w:lvlJc w:val="left"/>
      <w:pPr>
        <w:ind w:left="1276" w:hanging="708"/>
      </w:pPr>
      <w:rPr>
        <w:rFonts w:hint="default"/>
        <w:strike w:val="0"/>
        <w:spacing w:val="-2"/>
        <w:w w:val="100"/>
        <w:sz w:val="22"/>
        <w:szCs w:val="22"/>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6" w15:restartNumberingAfterBreak="0">
    <w:nsid w:val="396225AF"/>
    <w:multiLevelType w:val="hybridMultilevel"/>
    <w:tmpl w:val="5FB2B586"/>
    <w:lvl w:ilvl="0" w:tplc="28687AF8">
      <w:start w:val="1"/>
      <w:numFmt w:val="decimal"/>
      <w:lvlText w:val="Artículo %1."/>
      <w:lvlJc w:val="left"/>
      <w:pPr>
        <w:ind w:left="3763"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307E1"/>
    <w:multiLevelType w:val="hybridMultilevel"/>
    <w:tmpl w:val="DBDE65DA"/>
    <w:lvl w:ilvl="0" w:tplc="140A001B">
      <w:start w:val="1"/>
      <w:numFmt w:val="lowerRoman"/>
      <w:lvlText w:val="%1."/>
      <w:lvlJc w:val="right"/>
      <w:pPr>
        <w:ind w:left="1776" w:hanging="360"/>
      </w:pPr>
      <w:rPr>
        <w:rFonts w:hint="default"/>
        <w:b w:val="0"/>
        <w:bCs/>
      </w:rPr>
    </w:lvl>
    <w:lvl w:ilvl="1" w:tplc="140A0019" w:tentative="1">
      <w:start w:val="1"/>
      <w:numFmt w:val="lowerLetter"/>
      <w:lvlText w:val="%2."/>
      <w:lvlJc w:val="left"/>
      <w:pPr>
        <w:ind w:left="2005" w:hanging="360"/>
      </w:pPr>
    </w:lvl>
    <w:lvl w:ilvl="2" w:tplc="140A001B" w:tentative="1">
      <w:start w:val="1"/>
      <w:numFmt w:val="lowerRoman"/>
      <w:lvlText w:val="%3."/>
      <w:lvlJc w:val="right"/>
      <w:pPr>
        <w:ind w:left="2725" w:hanging="180"/>
      </w:pPr>
    </w:lvl>
    <w:lvl w:ilvl="3" w:tplc="140A000F" w:tentative="1">
      <w:start w:val="1"/>
      <w:numFmt w:val="decimal"/>
      <w:lvlText w:val="%4."/>
      <w:lvlJc w:val="left"/>
      <w:pPr>
        <w:ind w:left="3445" w:hanging="360"/>
      </w:pPr>
    </w:lvl>
    <w:lvl w:ilvl="4" w:tplc="140A0019" w:tentative="1">
      <w:start w:val="1"/>
      <w:numFmt w:val="lowerLetter"/>
      <w:lvlText w:val="%5."/>
      <w:lvlJc w:val="left"/>
      <w:pPr>
        <w:ind w:left="4165" w:hanging="360"/>
      </w:pPr>
    </w:lvl>
    <w:lvl w:ilvl="5" w:tplc="140A001B" w:tentative="1">
      <w:start w:val="1"/>
      <w:numFmt w:val="lowerRoman"/>
      <w:lvlText w:val="%6."/>
      <w:lvlJc w:val="right"/>
      <w:pPr>
        <w:ind w:left="4885" w:hanging="180"/>
      </w:pPr>
    </w:lvl>
    <w:lvl w:ilvl="6" w:tplc="140A000F" w:tentative="1">
      <w:start w:val="1"/>
      <w:numFmt w:val="decimal"/>
      <w:lvlText w:val="%7."/>
      <w:lvlJc w:val="left"/>
      <w:pPr>
        <w:ind w:left="5605" w:hanging="360"/>
      </w:pPr>
    </w:lvl>
    <w:lvl w:ilvl="7" w:tplc="140A0019" w:tentative="1">
      <w:start w:val="1"/>
      <w:numFmt w:val="lowerLetter"/>
      <w:lvlText w:val="%8."/>
      <w:lvlJc w:val="left"/>
      <w:pPr>
        <w:ind w:left="6325" w:hanging="360"/>
      </w:pPr>
    </w:lvl>
    <w:lvl w:ilvl="8" w:tplc="140A001B" w:tentative="1">
      <w:start w:val="1"/>
      <w:numFmt w:val="lowerRoman"/>
      <w:lvlText w:val="%9."/>
      <w:lvlJc w:val="right"/>
      <w:pPr>
        <w:ind w:left="7045" w:hanging="180"/>
      </w:pPr>
    </w:lvl>
  </w:abstractNum>
  <w:abstractNum w:abstractNumId="8"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C4C50FB"/>
    <w:multiLevelType w:val="hybridMultilevel"/>
    <w:tmpl w:val="28222946"/>
    <w:lvl w:ilvl="0" w:tplc="D40A2CA4">
      <w:start w:val="1"/>
      <w:numFmt w:val="lowerLetter"/>
      <w:lvlText w:val="%1)"/>
      <w:lvlJc w:val="left"/>
      <w:pPr>
        <w:ind w:left="1211"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C07DBB"/>
    <w:multiLevelType w:val="hybridMultilevel"/>
    <w:tmpl w:val="771629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677774F"/>
    <w:multiLevelType w:val="hybridMultilevel"/>
    <w:tmpl w:val="B15830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92B32DD"/>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20006551">
    <w:abstractNumId w:val="1"/>
  </w:num>
  <w:num w:numId="2" w16cid:durableId="698431599">
    <w:abstractNumId w:val="8"/>
  </w:num>
  <w:num w:numId="3" w16cid:durableId="166869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026102">
    <w:abstractNumId w:val="6"/>
  </w:num>
  <w:num w:numId="5" w16cid:durableId="734551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132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503890">
    <w:abstractNumId w:val="5"/>
  </w:num>
  <w:num w:numId="8" w16cid:durableId="137191707">
    <w:abstractNumId w:val="1"/>
  </w:num>
  <w:num w:numId="9" w16cid:durableId="27995618">
    <w:abstractNumId w:val="3"/>
  </w:num>
  <w:num w:numId="10" w16cid:durableId="205919900">
    <w:abstractNumId w:val="1"/>
  </w:num>
  <w:num w:numId="11" w16cid:durableId="234361589">
    <w:abstractNumId w:val="1"/>
  </w:num>
  <w:num w:numId="12" w16cid:durableId="1875187966">
    <w:abstractNumId w:val="0"/>
  </w:num>
  <w:num w:numId="13" w16cid:durableId="2093383144">
    <w:abstractNumId w:val="12"/>
  </w:num>
  <w:num w:numId="14" w16cid:durableId="1747220203">
    <w:abstractNumId w:val="13"/>
  </w:num>
  <w:num w:numId="15" w16cid:durableId="103967374">
    <w:abstractNumId w:val="11"/>
  </w:num>
  <w:num w:numId="16" w16cid:durableId="1944067656">
    <w:abstractNumId w:val="10"/>
  </w:num>
  <w:num w:numId="17" w16cid:durableId="888107325">
    <w:abstractNumId w:val="7"/>
  </w:num>
  <w:num w:numId="18" w16cid:durableId="2110541915">
    <w:abstractNumId w:val="2"/>
  </w:num>
  <w:num w:numId="19" w16cid:durableId="892733105">
    <w:abstractNumId w:val="1"/>
  </w:num>
  <w:num w:numId="20" w16cid:durableId="19293152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F7"/>
    <w:rsid w:val="00003E4F"/>
    <w:rsid w:val="00014B4D"/>
    <w:rsid w:val="0002371C"/>
    <w:rsid w:val="00027878"/>
    <w:rsid w:val="000335C5"/>
    <w:rsid w:val="000408FA"/>
    <w:rsid w:val="000439B6"/>
    <w:rsid w:val="00047897"/>
    <w:rsid w:val="0005177E"/>
    <w:rsid w:val="0006589A"/>
    <w:rsid w:val="00080A9E"/>
    <w:rsid w:val="00081096"/>
    <w:rsid w:val="00086131"/>
    <w:rsid w:val="00090428"/>
    <w:rsid w:val="000B4E6F"/>
    <w:rsid w:val="000B6A2C"/>
    <w:rsid w:val="000D2215"/>
    <w:rsid w:val="000D5569"/>
    <w:rsid w:val="000F1590"/>
    <w:rsid w:val="001033CE"/>
    <w:rsid w:val="0010578C"/>
    <w:rsid w:val="00107D8A"/>
    <w:rsid w:val="00116C9C"/>
    <w:rsid w:val="00123BF7"/>
    <w:rsid w:val="00126E34"/>
    <w:rsid w:val="0013726F"/>
    <w:rsid w:val="0014513B"/>
    <w:rsid w:val="00156573"/>
    <w:rsid w:val="00197AA8"/>
    <w:rsid w:val="001A06BA"/>
    <w:rsid w:val="001A3778"/>
    <w:rsid w:val="001A4FA4"/>
    <w:rsid w:val="001A664B"/>
    <w:rsid w:val="001B4DC1"/>
    <w:rsid w:val="001D3773"/>
    <w:rsid w:val="001D3A2A"/>
    <w:rsid w:val="001E5B9A"/>
    <w:rsid w:val="001F1D74"/>
    <w:rsid w:val="001F372B"/>
    <w:rsid w:val="002011ED"/>
    <w:rsid w:val="00214288"/>
    <w:rsid w:val="002229A6"/>
    <w:rsid w:val="002479E0"/>
    <w:rsid w:val="002520F8"/>
    <w:rsid w:val="0028775B"/>
    <w:rsid w:val="00291B9C"/>
    <w:rsid w:val="002B5AB9"/>
    <w:rsid w:val="002C46A1"/>
    <w:rsid w:val="002D35F6"/>
    <w:rsid w:val="002D492C"/>
    <w:rsid w:val="00307708"/>
    <w:rsid w:val="003159D1"/>
    <w:rsid w:val="00333136"/>
    <w:rsid w:val="00341C8A"/>
    <w:rsid w:val="0034309C"/>
    <w:rsid w:val="00347723"/>
    <w:rsid w:val="00352CD5"/>
    <w:rsid w:val="0036551B"/>
    <w:rsid w:val="00370D06"/>
    <w:rsid w:val="00376789"/>
    <w:rsid w:val="0038747A"/>
    <w:rsid w:val="00390673"/>
    <w:rsid w:val="003975BB"/>
    <w:rsid w:val="003A228D"/>
    <w:rsid w:val="003B24F9"/>
    <w:rsid w:val="003C0838"/>
    <w:rsid w:val="003C2745"/>
    <w:rsid w:val="003D52B1"/>
    <w:rsid w:val="003E5102"/>
    <w:rsid w:val="003E5756"/>
    <w:rsid w:val="003F34C1"/>
    <w:rsid w:val="00401FCB"/>
    <w:rsid w:val="00417908"/>
    <w:rsid w:val="00422CE6"/>
    <w:rsid w:val="0042418E"/>
    <w:rsid w:val="00434B93"/>
    <w:rsid w:val="004464D6"/>
    <w:rsid w:val="0045536E"/>
    <w:rsid w:val="004721DE"/>
    <w:rsid w:val="00474FC2"/>
    <w:rsid w:val="004750E7"/>
    <w:rsid w:val="004931CA"/>
    <w:rsid w:val="004A0B0C"/>
    <w:rsid w:val="004A0C86"/>
    <w:rsid w:val="004A22D2"/>
    <w:rsid w:val="004B5A35"/>
    <w:rsid w:val="004D6F59"/>
    <w:rsid w:val="004E0468"/>
    <w:rsid w:val="004E3EBA"/>
    <w:rsid w:val="004E436C"/>
    <w:rsid w:val="004E671C"/>
    <w:rsid w:val="004E7E40"/>
    <w:rsid w:val="004F2AD9"/>
    <w:rsid w:val="004F2F03"/>
    <w:rsid w:val="004F5B30"/>
    <w:rsid w:val="004F7F92"/>
    <w:rsid w:val="0050501A"/>
    <w:rsid w:val="00511EF7"/>
    <w:rsid w:val="00526E03"/>
    <w:rsid w:val="005371F5"/>
    <w:rsid w:val="005526E1"/>
    <w:rsid w:val="00587788"/>
    <w:rsid w:val="005B0DDE"/>
    <w:rsid w:val="005D79F2"/>
    <w:rsid w:val="005E1CD5"/>
    <w:rsid w:val="00604199"/>
    <w:rsid w:val="00611862"/>
    <w:rsid w:val="0061242C"/>
    <w:rsid w:val="00615854"/>
    <w:rsid w:val="006319CB"/>
    <w:rsid w:val="006324A8"/>
    <w:rsid w:val="006344A4"/>
    <w:rsid w:val="0066063C"/>
    <w:rsid w:val="00685BAF"/>
    <w:rsid w:val="006B42EB"/>
    <w:rsid w:val="006E31C2"/>
    <w:rsid w:val="006E3205"/>
    <w:rsid w:val="006E470C"/>
    <w:rsid w:val="006F0048"/>
    <w:rsid w:val="006F0E92"/>
    <w:rsid w:val="007061D3"/>
    <w:rsid w:val="00710D22"/>
    <w:rsid w:val="00713A27"/>
    <w:rsid w:val="00715E8B"/>
    <w:rsid w:val="007167E6"/>
    <w:rsid w:val="0072529E"/>
    <w:rsid w:val="00727749"/>
    <w:rsid w:val="00734AD7"/>
    <w:rsid w:val="00735F5B"/>
    <w:rsid w:val="0073779F"/>
    <w:rsid w:val="0074398C"/>
    <w:rsid w:val="007635AE"/>
    <w:rsid w:val="00770E5A"/>
    <w:rsid w:val="00771052"/>
    <w:rsid w:val="00774AF4"/>
    <w:rsid w:val="00784661"/>
    <w:rsid w:val="007B3D2C"/>
    <w:rsid w:val="007C4154"/>
    <w:rsid w:val="008058A9"/>
    <w:rsid w:val="0080703C"/>
    <w:rsid w:val="00822B62"/>
    <w:rsid w:val="00824EC2"/>
    <w:rsid w:val="0083442C"/>
    <w:rsid w:val="00845D79"/>
    <w:rsid w:val="00857663"/>
    <w:rsid w:val="00857DD9"/>
    <w:rsid w:val="00874D10"/>
    <w:rsid w:val="00893DB0"/>
    <w:rsid w:val="008A554A"/>
    <w:rsid w:val="008D00D7"/>
    <w:rsid w:val="008D252A"/>
    <w:rsid w:val="008D57BF"/>
    <w:rsid w:val="008E0189"/>
    <w:rsid w:val="00911E98"/>
    <w:rsid w:val="00915B74"/>
    <w:rsid w:val="00925C4D"/>
    <w:rsid w:val="00926AD1"/>
    <w:rsid w:val="00927E5F"/>
    <w:rsid w:val="00930C63"/>
    <w:rsid w:val="00943EF5"/>
    <w:rsid w:val="009546ED"/>
    <w:rsid w:val="00957AE6"/>
    <w:rsid w:val="0097371E"/>
    <w:rsid w:val="009A2C39"/>
    <w:rsid w:val="009A40A7"/>
    <w:rsid w:val="009B3650"/>
    <w:rsid w:val="009B3EF2"/>
    <w:rsid w:val="009C699D"/>
    <w:rsid w:val="00A03C27"/>
    <w:rsid w:val="00A24C1F"/>
    <w:rsid w:val="00A34A21"/>
    <w:rsid w:val="00A37493"/>
    <w:rsid w:val="00A40E33"/>
    <w:rsid w:val="00A428E5"/>
    <w:rsid w:val="00A5451B"/>
    <w:rsid w:val="00A61745"/>
    <w:rsid w:val="00A64F2E"/>
    <w:rsid w:val="00A7255D"/>
    <w:rsid w:val="00A8045D"/>
    <w:rsid w:val="00A83D1F"/>
    <w:rsid w:val="00AA411F"/>
    <w:rsid w:val="00AC198E"/>
    <w:rsid w:val="00AE7223"/>
    <w:rsid w:val="00AF4272"/>
    <w:rsid w:val="00B00A6D"/>
    <w:rsid w:val="00B24964"/>
    <w:rsid w:val="00B33B54"/>
    <w:rsid w:val="00B34206"/>
    <w:rsid w:val="00B419EF"/>
    <w:rsid w:val="00B44B2C"/>
    <w:rsid w:val="00B614F9"/>
    <w:rsid w:val="00B762CF"/>
    <w:rsid w:val="00B84EB2"/>
    <w:rsid w:val="00B8623E"/>
    <w:rsid w:val="00B9394D"/>
    <w:rsid w:val="00BB3BE0"/>
    <w:rsid w:val="00BB496C"/>
    <w:rsid w:val="00BC582F"/>
    <w:rsid w:val="00BE4025"/>
    <w:rsid w:val="00BE4793"/>
    <w:rsid w:val="00BE739D"/>
    <w:rsid w:val="00BF2C48"/>
    <w:rsid w:val="00C0765F"/>
    <w:rsid w:val="00C259A3"/>
    <w:rsid w:val="00C34B0A"/>
    <w:rsid w:val="00C4182F"/>
    <w:rsid w:val="00C45BAD"/>
    <w:rsid w:val="00C46B1D"/>
    <w:rsid w:val="00C658C4"/>
    <w:rsid w:val="00C65B46"/>
    <w:rsid w:val="00C65EF2"/>
    <w:rsid w:val="00C85F18"/>
    <w:rsid w:val="00C939B1"/>
    <w:rsid w:val="00CA148D"/>
    <w:rsid w:val="00CB4618"/>
    <w:rsid w:val="00CD6479"/>
    <w:rsid w:val="00D02FF2"/>
    <w:rsid w:val="00D1699A"/>
    <w:rsid w:val="00D221CB"/>
    <w:rsid w:val="00D30197"/>
    <w:rsid w:val="00D301A3"/>
    <w:rsid w:val="00D44681"/>
    <w:rsid w:val="00D467DC"/>
    <w:rsid w:val="00D46D1F"/>
    <w:rsid w:val="00D56D0A"/>
    <w:rsid w:val="00D62784"/>
    <w:rsid w:val="00D6785C"/>
    <w:rsid w:val="00D85407"/>
    <w:rsid w:val="00D93053"/>
    <w:rsid w:val="00D94E04"/>
    <w:rsid w:val="00D951D4"/>
    <w:rsid w:val="00D96330"/>
    <w:rsid w:val="00DA1547"/>
    <w:rsid w:val="00DB5F62"/>
    <w:rsid w:val="00DB653D"/>
    <w:rsid w:val="00DB6C88"/>
    <w:rsid w:val="00DE677C"/>
    <w:rsid w:val="00E14E20"/>
    <w:rsid w:val="00E208FB"/>
    <w:rsid w:val="00E24E36"/>
    <w:rsid w:val="00E34FB9"/>
    <w:rsid w:val="00E352DA"/>
    <w:rsid w:val="00E4084B"/>
    <w:rsid w:val="00E436CA"/>
    <w:rsid w:val="00E57EDD"/>
    <w:rsid w:val="00E67FE9"/>
    <w:rsid w:val="00E7094D"/>
    <w:rsid w:val="00E73564"/>
    <w:rsid w:val="00EB0E3A"/>
    <w:rsid w:val="00EC076A"/>
    <w:rsid w:val="00ED1A6D"/>
    <w:rsid w:val="00ED4EC0"/>
    <w:rsid w:val="00EE330C"/>
    <w:rsid w:val="00EE3BD9"/>
    <w:rsid w:val="00EE5BE9"/>
    <w:rsid w:val="00EF12A5"/>
    <w:rsid w:val="00F14D96"/>
    <w:rsid w:val="00F32280"/>
    <w:rsid w:val="00F50C1C"/>
    <w:rsid w:val="00F628A6"/>
    <w:rsid w:val="00F72B2D"/>
    <w:rsid w:val="00F75F8F"/>
    <w:rsid w:val="00F7664B"/>
    <w:rsid w:val="00F81197"/>
    <w:rsid w:val="00FB3B54"/>
    <w:rsid w:val="00FB4BC6"/>
    <w:rsid w:val="00FD5A17"/>
    <w:rsid w:val="00FF41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2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F7"/>
    <w:pPr>
      <w:spacing w:after="0" w:line="240" w:lineRule="auto"/>
    </w:pPr>
    <w:rPr>
      <w:rFonts w:ascii="Arial Narrow" w:eastAsia="Times New Roman" w:hAnsi="Arial Narrow" w:cs="Times New Roman"/>
      <w:szCs w:val="24"/>
      <w:lang w:eastAsia="es-ES"/>
    </w:rPr>
  </w:style>
  <w:style w:type="paragraph" w:styleId="Ttulo1">
    <w:name w:val="heading 1"/>
    <w:basedOn w:val="Normal"/>
    <w:next w:val="Normal"/>
    <w:link w:val="Ttulo1Car"/>
    <w:qFormat/>
    <w:rsid w:val="00BC582F"/>
    <w:pPr>
      <w:keepNext/>
      <w:numPr>
        <w:numId w:val="2"/>
      </w:numPr>
      <w:jc w:val="both"/>
      <w:outlineLvl w:val="0"/>
    </w:pPr>
    <w:rPr>
      <w:rFonts w:ascii="Century Gothic" w:hAnsi="Century Gothic"/>
      <w:b/>
      <w:sz w:val="20"/>
      <w:szCs w:val="20"/>
    </w:rPr>
  </w:style>
  <w:style w:type="paragraph" w:styleId="Ttulo2">
    <w:name w:val="heading 2"/>
    <w:basedOn w:val="Normal"/>
    <w:next w:val="Normal"/>
    <w:link w:val="Ttulo2Car"/>
    <w:uiPriority w:val="9"/>
    <w:unhideWhenUsed/>
    <w:qFormat/>
    <w:rsid w:val="000237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123BF7"/>
    <w:pPr>
      <w:ind w:left="720"/>
    </w:pPr>
  </w:style>
  <w:style w:type="paragraph" w:styleId="Ttulo">
    <w:name w:val="Title"/>
    <w:basedOn w:val="Normal"/>
    <w:link w:val="TtuloCar"/>
    <w:qFormat/>
    <w:rsid w:val="00123BF7"/>
    <w:pPr>
      <w:widowControl w:val="0"/>
      <w:jc w:val="center"/>
      <w:outlineLvl w:val="0"/>
    </w:pPr>
    <w:rPr>
      <w:rFonts w:ascii="Arial" w:hAnsi="Arial"/>
      <w:b/>
      <w:i/>
      <w:sz w:val="24"/>
      <w:lang w:eastAsia="en-US"/>
    </w:rPr>
  </w:style>
  <w:style w:type="character" w:customStyle="1" w:styleId="TtuloCar">
    <w:name w:val="Título Car"/>
    <w:basedOn w:val="Fuentedeprrafopredeter"/>
    <w:link w:val="Ttulo"/>
    <w:rsid w:val="00123BF7"/>
    <w:rPr>
      <w:rFonts w:ascii="Arial" w:eastAsia="Times New Roman" w:hAnsi="Arial" w:cs="Times New Roman"/>
      <w:b/>
      <w:i/>
      <w:sz w:val="24"/>
      <w:szCs w:val="24"/>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unhideWhenUsed/>
    <w:rsid w:val="00123BF7"/>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123BF7"/>
    <w:rPr>
      <w:rFonts w:ascii="Arial Narrow" w:eastAsia="Times New Roman" w:hAnsi="Arial Narrow" w:cs="Times New Roman"/>
      <w:sz w:val="20"/>
      <w:szCs w:val="20"/>
      <w:lang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unhideWhenUsed/>
    <w:qFormat/>
    <w:rsid w:val="00123BF7"/>
    <w:rPr>
      <w:vertAlign w:val="superscript"/>
    </w:rPr>
  </w:style>
  <w:style w:type="paragraph" w:styleId="Textodeglobo">
    <w:name w:val="Balloon Text"/>
    <w:basedOn w:val="Normal"/>
    <w:link w:val="TextodegloboCar"/>
    <w:uiPriority w:val="99"/>
    <w:semiHidden/>
    <w:unhideWhenUsed/>
    <w:rsid w:val="00A545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51B"/>
    <w:rPr>
      <w:rFonts w:ascii="Segoe UI" w:eastAsia="Times New Roman" w:hAnsi="Segoe UI" w:cs="Segoe UI"/>
      <w:sz w:val="18"/>
      <w:szCs w:val="18"/>
      <w:lang w:eastAsia="es-ES"/>
    </w:rPr>
  </w:style>
  <w:style w:type="paragraph" w:customStyle="1" w:styleId="Numeracin">
    <w:name w:val="Numeración"/>
    <w:basedOn w:val="Normal"/>
    <w:link w:val="NumeracinChar"/>
    <w:qFormat/>
    <w:rsid w:val="00A5451B"/>
    <w:pPr>
      <w:numPr>
        <w:numId w:val="1"/>
      </w:numPr>
      <w:spacing w:before="120"/>
      <w:jc w:val="both"/>
    </w:pPr>
    <w:rPr>
      <w:rFonts w:ascii="Times New Roman" w:hAnsi="Times New Roman"/>
      <w:lang w:val="es-ES"/>
    </w:rPr>
  </w:style>
  <w:style w:type="character" w:customStyle="1" w:styleId="NumeracinChar">
    <w:name w:val="Numeración Char"/>
    <w:link w:val="Numeracin"/>
    <w:rsid w:val="00A5451B"/>
    <w:rPr>
      <w:rFonts w:ascii="Times New Roman" w:eastAsia="Times New Roman" w:hAnsi="Times New Roman" w:cs="Times New Roman"/>
      <w:szCs w:val="24"/>
      <w:lang w:val="es-ES" w:eastAsia="es-ES"/>
    </w:rPr>
  </w:style>
  <w:style w:type="character" w:customStyle="1" w:styleId="Ttulo1Car">
    <w:name w:val="Título 1 Car"/>
    <w:basedOn w:val="Fuentedeprrafopredeter"/>
    <w:link w:val="Ttulo1"/>
    <w:rsid w:val="00BC582F"/>
    <w:rPr>
      <w:rFonts w:ascii="Century Gothic" w:eastAsia="Times New Roman" w:hAnsi="Century Gothic" w:cs="Times New Roman"/>
      <w:b/>
      <w:sz w:val="20"/>
      <w:szCs w:val="20"/>
      <w:lang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F7664B"/>
    <w:rPr>
      <w:rFonts w:ascii="Arial Narrow" w:eastAsia="Times New Roman" w:hAnsi="Arial Narrow" w:cs="Times New Roman"/>
      <w:szCs w:val="24"/>
      <w:lang w:eastAsia="es-ES"/>
    </w:rPr>
  </w:style>
  <w:style w:type="character" w:styleId="Refdecomentario">
    <w:name w:val="annotation reference"/>
    <w:basedOn w:val="Fuentedeprrafopredeter"/>
    <w:uiPriority w:val="99"/>
    <w:semiHidden/>
    <w:unhideWhenUsed/>
    <w:rsid w:val="004A0C86"/>
    <w:rPr>
      <w:sz w:val="16"/>
      <w:szCs w:val="16"/>
    </w:rPr>
  </w:style>
  <w:style w:type="paragraph" w:styleId="Textocomentario">
    <w:name w:val="annotation text"/>
    <w:basedOn w:val="Normal"/>
    <w:link w:val="TextocomentarioCar"/>
    <w:uiPriority w:val="99"/>
    <w:unhideWhenUsed/>
    <w:rsid w:val="004A0C86"/>
    <w:rPr>
      <w:sz w:val="20"/>
      <w:szCs w:val="20"/>
    </w:rPr>
  </w:style>
  <w:style w:type="character" w:customStyle="1" w:styleId="TextocomentarioCar">
    <w:name w:val="Texto comentario Car"/>
    <w:basedOn w:val="Fuentedeprrafopredeter"/>
    <w:link w:val="Textocomentario"/>
    <w:uiPriority w:val="99"/>
    <w:rsid w:val="004A0C86"/>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A0C86"/>
    <w:rPr>
      <w:b/>
      <w:bCs/>
    </w:rPr>
  </w:style>
  <w:style w:type="character" w:customStyle="1" w:styleId="AsuntodelcomentarioCar">
    <w:name w:val="Asunto del comentario Car"/>
    <w:basedOn w:val="TextocomentarioCar"/>
    <w:link w:val="Asuntodelcomentario"/>
    <w:uiPriority w:val="99"/>
    <w:semiHidden/>
    <w:rsid w:val="004A0C86"/>
    <w:rPr>
      <w:rFonts w:ascii="Arial Narrow" w:eastAsia="Times New Roman" w:hAnsi="Arial Narrow" w:cs="Times New Roman"/>
      <w:b/>
      <w:bCs/>
      <w:sz w:val="20"/>
      <w:szCs w:val="20"/>
      <w:lang w:eastAsia="es-ES"/>
    </w:rPr>
  </w:style>
  <w:style w:type="paragraph" w:styleId="Encabezado">
    <w:name w:val="header"/>
    <w:basedOn w:val="Normal"/>
    <w:link w:val="EncabezadoCar"/>
    <w:uiPriority w:val="99"/>
    <w:unhideWhenUsed/>
    <w:rsid w:val="00B9394D"/>
    <w:pPr>
      <w:tabs>
        <w:tab w:val="center" w:pos="4419"/>
        <w:tab w:val="right" w:pos="8838"/>
      </w:tabs>
    </w:pPr>
  </w:style>
  <w:style w:type="character" w:customStyle="1" w:styleId="EncabezadoCar">
    <w:name w:val="Encabezado Car"/>
    <w:basedOn w:val="Fuentedeprrafopredeter"/>
    <w:link w:val="Encabezado"/>
    <w:uiPriority w:val="99"/>
    <w:rsid w:val="00B9394D"/>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B9394D"/>
    <w:pPr>
      <w:tabs>
        <w:tab w:val="center" w:pos="4419"/>
        <w:tab w:val="right" w:pos="8838"/>
      </w:tabs>
    </w:pPr>
  </w:style>
  <w:style w:type="character" w:customStyle="1" w:styleId="PiedepginaCar">
    <w:name w:val="Pie de página Car"/>
    <w:basedOn w:val="Fuentedeprrafopredeter"/>
    <w:link w:val="Piedepgina"/>
    <w:uiPriority w:val="99"/>
    <w:rsid w:val="00B9394D"/>
    <w:rPr>
      <w:rFonts w:ascii="Arial Narrow" w:eastAsia="Times New Roman" w:hAnsi="Arial Narrow" w:cs="Times New Roman"/>
      <w:szCs w:val="24"/>
      <w:lang w:eastAsia="es-ES"/>
    </w:rPr>
  </w:style>
  <w:style w:type="character" w:customStyle="1" w:styleId="TextodereglamentoChar">
    <w:name w:val="Texto de reglamento Char"/>
    <w:link w:val="Textodereglamento"/>
    <w:locked/>
    <w:rsid w:val="00090428"/>
    <w:rPr>
      <w:szCs w:val="24"/>
      <w:lang w:val="es-ES" w:eastAsia="es-ES"/>
    </w:rPr>
  </w:style>
  <w:style w:type="paragraph" w:customStyle="1" w:styleId="Textodereglamento">
    <w:name w:val="Texto de reglamento"/>
    <w:basedOn w:val="Normal"/>
    <w:link w:val="TextodereglamentoChar"/>
    <w:qFormat/>
    <w:rsid w:val="00090428"/>
    <w:pPr>
      <w:spacing w:before="120"/>
      <w:jc w:val="both"/>
    </w:pPr>
    <w:rPr>
      <w:rFonts w:asciiTheme="minorHAnsi" w:eastAsiaTheme="minorHAnsi" w:hAnsiTheme="minorHAnsi" w:cstheme="minorBidi"/>
      <w:lang w:val="es-ES"/>
    </w:rPr>
  </w:style>
  <w:style w:type="paragraph" w:styleId="Textoindependiente3">
    <w:name w:val="Body Text 3"/>
    <w:basedOn w:val="Normal"/>
    <w:link w:val="Textoindependiente3Car"/>
    <w:unhideWhenUsed/>
    <w:rsid w:val="00735F5B"/>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735F5B"/>
    <w:rPr>
      <w:rFonts w:ascii="Times New Roman" w:eastAsia="Times New Roman" w:hAnsi="Times New Roman" w:cs="Times New Roman"/>
      <w:sz w:val="16"/>
      <w:szCs w:val="16"/>
      <w:lang w:val="es-ES" w:eastAsia="es-ES"/>
    </w:rPr>
  </w:style>
  <w:style w:type="table" w:customStyle="1" w:styleId="Tablaconcuadrcula11">
    <w:name w:val="Tabla con cuadrícula11"/>
    <w:basedOn w:val="Tablanormal"/>
    <w:uiPriority w:val="39"/>
    <w:rsid w:val="006041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D1A6D"/>
    <w:pPr>
      <w:spacing w:after="0" w:line="240" w:lineRule="auto"/>
    </w:pPr>
    <w:rPr>
      <w:rFonts w:ascii="Arial Narrow" w:eastAsia="Times New Roman" w:hAnsi="Arial Narrow" w:cs="Times New Roman"/>
      <w:szCs w:val="24"/>
      <w:lang w:eastAsia="es-ES"/>
    </w:rPr>
  </w:style>
  <w:style w:type="table" w:styleId="Tablaconcuadrcula">
    <w:name w:val="Table Grid"/>
    <w:basedOn w:val="Tablanormal"/>
    <w:uiPriority w:val="39"/>
    <w:rsid w:val="00CD647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s">
    <w:name w:val="incisos"/>
    <w:basedOn w:val="Normal"/>
    <w:qFormat/>
    <w:rsid w:val="00CD6479"/>
    <w:pPr>
      <w:numPr>
        <w:numId w:val="3"/>
      </w:numPr>
      <w:spacing w:before="60"/>
      <w:jc w:val="both"/>
    </w:pPr>
    <w:rPr>
      <w:rFonts w:ascii="Times New Roman" w:eastAsiaTheme="minorHAnsi" w:hAnsi="Times New Roman"/>
      <w:szCs w:val="22"/>
    </w:rPr>
  </w:style>
  <w:style w:type="character" w:customStyle="1" w:styleId="Ttulo2Car">
    <w:name w:val="Título 2 Car"/>
    <w:basedOn w:val="Fuentedeprrafopredeter"/>
    <w:link w:val="Ttulo2"/>
    <w:uiPriority w:val="9"/>
    <w:rsid w:val="0002371C"/>
    <w:rPr>
      <w:rFonts w:asciiTheme="majorHAnsi" w:eastAsiaTheme="majorEastAsia" w:hAnsiTheme="majorHAnsi" w:cstheme="majorBidi"/>
      <w:color w:val="2F5496" w:themeColor="accent1" w:themeShade="BF"/>
      <w:sz w:val="26"/>
      <w:szCs w:val="26"/>
      <w:lang w:eastAsia="es-ES"/>
    </w:rPr>
  </w:style>
  <w:style w:type="paragraph" w:styleId="Textoindependiente">
    <w:name w:val="Body Text"/>
    <w:basedOn w:val="Normal"/>
    <w:link w:val="TextoindependienteCar"/>
    <w:uiPriority w:val="99"/>
    <w:semiHidden/>
    <w:unhideWhenUsed/>
    <w:rsid w:val="0002371C"/>
    <w:pPr>
      <w:spacing w:after="120"/>
    </w:pPr>
  </w:style>
  <w:style w:type="character" w:customStyle="1" w:styleId="TextoindependienteCar">
    <w:name w:val="Texto independiente Car"/>
    <w:basedOn w:val="Fuentedeprrafopredeter"/>
    <w:link w:val="Textoindependiente"/>
    <w:uiPriority w:val="99"/>
    <w:semiHidden/>
    <w:rsid w:val="0002371C"/>
    <w:rPr>
      <w:rFonts w:ascii="Arial Narrow" w:eastAsia="Times New Roman" w:hAnsi="Arial Narrow" w:cs="Times New Roman"/>
      <w:szCs w:val="24"/>
      <w:lang w:eastAsia="es-ES"/>
    </w:rPr>
  </w:style>
  <w:style w:type="paragraph" w:styleId="Sangradetextonormal">
    <w:name w:val="Body Text Indent"/>
    <w:basedOn w:val="Normal"/>
    <w:link w:val="SangradetextonormalCar"/>
    <w:uiPriority w:val="99"/>
    <w:semiHidden/>
    <w:unhideWhenUsed/>
    <w:rsid w:val="00D44681"/>
    <w:pPr>
      <w:spacing w:after="120"/>
      <w:ind w:left="283"/>
    </w:pPr>
  </w:style>
  <w:style w:type="character" w:customStyle="1" w:styleId="SangradetextonormalCar">
    <w:name w:val="Sangría de texto normal Car"/>
    <w:basedOn w:val="Fuentedeprrafopredeter"/>
    <w:link w:val="Sangradetextonormal"/>
    <w:uiPriority w:val="99"/>
    <w:semiHidden/>
    <w:rsid w:val="00D44681"/>
    <w:rPr>
      <w:rFonts w:ascii="Arial Narrow" w:eastAsia="Times New Roman" w:hAnsi="Arial Narrow" w:cs="Times New Roman"/>
      <w:szCs w:val="24"/>
      <w:lang w:eastAsia="es-ES"/>
    </w:rPr>
  </w:style>
  <w:style w:type="paragraph" w:styleId="Sinespaciado">
    <w:name w:val="No Spacing"/>
    <w:uiPriority w:val="1"/>
    <w:qFormat/>
    <w:rsid w:val="00D221CB"/>
    <w:pPr>
      <w:widowControl w:val="0"/>
      <w:autoSpaceDE w:val="0"/>
      <w:autoSpaceDN w:val="0"/>
      <w:spacing w:after="0" w:line="240" w:lineRule="auto"/>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209">
      <w:bodyDiv w:val="1"/>
      <w:marLeft w:val="0"/>
      <w:marRight w:val="0"/>
      <w:marTop w:val="0"/>
      <w:marBottom w:val="0"/>
      <w:divBdr>
        <w:top w:val="none" w:sz="0" w:space="0" w:color="auto"/>
        <w:left w:val="none" w:sz="0" w:space="0" w:color="auto"/>
        <w:bottom w:val="none" w:sz="0" w:space="0" w:color="auto"/>
        <w:right w:val="none" w:sz="0" w:space="0" w:color="auto"/>
      </w:divBdr>
    </w:div>
    <w:div w:id="82653416">
      <w:bodyDiv w:val="1"/>
      <w:marLeft w:val="0"/>
      <w:marRight w:val="0"/>
      <w:marTop w:val="0"/>
      <w:marBottom w:val="0"/>
      <w:divBdr>
        <w:top w:val="none" w:sz="0" w:space="0" w:color="auto"/>
        <w:left w:val="none" w:sz="0" w:space="0" w:color="auto"/>
        <w:bottom w:val="none" w:sz="0" w:space="0" w:color="auto"/>
        <w:right w:val="none" w:sz="0" w:space="0" w:color="auto"/>
      </w:divBdr>
    </w:div>
    <w:div w:id="256181147">
      <w:bodyDiv w:val="1"/>
      <w:marLeft w:val="0"/>
      <w:marRight w:val="0"/>
      <w:marTop w:val="0"/>
      <w:marBottom w:val="0"/>
      <w:divBdr>
        <w:top w:val="none" w:sz="0" w:space="0" w:color="auto"/>
        <w:left w:val="none" w:sz="0" w:space="0" w:color="auto"/>
        <w:bottom w:val="none" w:sz="0" w:space="0" w:color="auto"/>
        <w:right w:val="none" w:sz="0" w:space="0" w:color="auto"/>
      </w:divBdr>
    </w:div>
    <w:div w:id="463353618">
      <w:bodyDiv w:val="1"/>
      <w:marLeft w:val="0"/>
      <w:marRight w:val="0"/>
      <w:marTop w:val="0"/>
      <w:marBottom w:val="0"/>
      <w:divBdr>
        <w:top w:val="none" w:sz="0" w:space="0" w:color="auto"/>
        <w:left w:val="none" w:sz="0" w:space="0" w:color="auto"/>
        <w:bottom w:val="none" w:sz="0" w:space="0" w:color="auto"/>
        <w:right w:val="none" w:sz="0" w:space="0" w:color="auto"/>
      </w:divBdr>
    </w:div>
    <w:div w:id="524751761">
      <w:bodyDiv w:val="1"/>
      <w:marLeft w:val="0"/>
      <w:marRight w:val="0"/>
      <w:marTop w:val="0"/>
      <w:marBottom w:val="0"/>
      <w:divBdr>
        <w:top w:val="none" w:sz="0" w:space="0" w:color="auto"/>
        <w:left w:val="none" w:sz="0" w:space="0" w:color="auto"/>
        <w:bottom w:val="none" w:sz="0" w:space="0" w:color="auto"/>
        <w:right w:val="none" w:sz="0" w:space="0" w:color="auto"/>
      </w:divBdr>
    </w:div>
    <w:div w:id="535046594">
      <w:bodyDiv w:val="1"/>
      <w:marLeft w:val="0"/>
      <w:marRight w:val="0"/>
      <w:marTop w:val="0"/>
      <w:marBottom w:val="0"/>
      <w:divBdr>
        <w:top w:val="none" w:sz="0" w:space="0" w:color="auto"/>
        <w:left w:val="none" w:sz="0" w:space="0" w:color="auto"/>
        <w:bottom w:val="none" w:sz="0" w:space="0" w:color="auto"/>
        <w:right w:val="none" w:sz="0" w:space="0" w:color="auto"/>
      </w:divBdr>
    </w:div>
    <w:div w:id="607394071">
      <w:bodyDiv w:val="1"/>
      <w:marLeft w:val="0"/>
      <w:marRight w:val="0"/>
      <w:marTop w:val="0"/>
      <w:marBottom w:val="0"/>
      <w:divBdr>
        <w:top w:val="none" w:sz="0" w:space="0" w:color="auto"/>
        <w:left w:val="none" w:sz="0" w:space="0" w:color="auto"/>
        <w:bottom w:val="none" w:sz="0" w:space="0" w:color="auto"/>
        <w:right w:val="none" w:sz="0" w:space="0" w:color="auto"/>
      </w:divBdr>
    </w:div>
    <w:div w:id="1423725942">
      <w:bodyDiv w:val="1"/>
      <w:marLeft w:val="0"/>
      <w:marRight w:val="0"/>
      <w:marTop w:val="0"/>
      <w:marBottom w:val="0"/>
      <w:divBdr>
        <w:top w:val="none" w:sz="0" w:space="0" w:color="auto"/>
        <w:left w:val="none" w:sz="0" w:space="0" w:color="auto"/>
        <w:bottom w:val="none" w:sz="0" w:space="0" w:color="auto"/>
        <w:right w:val="none" w:sz="0" w:space="0" w:color="auto"/>
      </w:divBdr>
    </w:div>
    <w:div w:id="1485972274">
      <w:bodyDiv w:val="1"/>
      <w:marLeft w:val="0"/>
      <w:marRight w:val="0"/>
      <w:marTop w:val="0"/>
      <w:marBottom w:val="0"/>
      <w:divBdr>
        <w:top w:val="none" w:sz="0" w:space="0" w:color="auto"/>
        <w:left w:val="none" w:sz="0" w:space="0" w:color="auto"/>
        <w:bottom w:val="none" w:sz="0" w:space="0" w:color="auto"/>
        <w:right w:val="none" w:sz="0" w:space="0" w:color="auto"/>
      </w:divBdr>
    </w:div>
    <w:div w:id="1833064026">
      <w:bodyDiv w:val="1"/>
      <w:marLeft w:val="0"/>
      <w:marRight w:val="0"/>
      <w:marTop w:val="0"/>
      <w:marBottom w:val="0"/>
      <w:divBdr>
        <w:top w:val="none" w:sz="0" w:space="0" w:color="auto"/>
        <w:left w:val="none" w:sz="0" w:space="0" w:color="auto"/>
        <w:bottom w:val="none" w:sz="0" w:space="0" w:color="auto"/>
        <w:right w:val="none" w:sz="0" w:space="0" w:color="auto"/>
      </w:divBdr>
    </w:div>
    <w:div w:id="20634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58C13C9E-8525-4E36-B5B3-B287386D6C85}"/>
</file>

<file path=customXml/itemProps2.xml><?xml version="1.0" encoding="utf-8"?>
<ds:datastoreItem xmlns:ds="http://schemas.openxmlformats.org/officeDocument/2006/customXml" ds:itemID="{8604CB38-24D4-462B-B72A-7857B94E0B30}"/>
</file>

<file path=customXml/itemProps3.xml><?xml version="1.0" encoding="utf-8"?>
<ds:datastoreItem xmlns:ds="http://schemas.openxmlformats.org/officeDocument/2006/customXml" ds:itemID="{E5D5593B-B108-410B-8180-14B5F2700A7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2023-09-07T18:18:00Z</dcterms:created>
  <dcterms:modified xsi:type="dcterms:W3CDTF">2023-09-08T20:02:00Z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