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30A5C" w14:textId="6BAA3249" w:rsidR="009C6139" w:rsidRDefault="009C6139" w:rsidP="009C6139">
      <w:pPr>
        <w:pStyle w:val="Textodereglamento"/>
        <w:spacing w:before="0"/>
        <w:rPr>
          <w:rFonts w:ascii="Arial" w:hAnsi="Arial" w:cs="Arial"/>
          <w:b/>
          <w:bCs/>
          <w:sz w:val="24"/>
          <w:lang w:val="es-MX" w:eastAsia="en-US"/>
        </w:rPr>
      </w:pPr>
      <w:r w:rsidRPr="009C6139">
        <w:rPr>
          <w:rFonts w:ascii="Arial" w:hAnsi="Arial" w:cs="Arial"/>
          <w:b/>
          <w:bCs/>
          <w:sz w:val="24"/>
          <w:lang w:val="es-MX" w:eastAsia="en-US"/>
        </w:rPr>
        <w:t>SGV-A-3-2024. AJUSTE AL CAPITAL SOCIAL SUSCRITO Y PAGADO DE ENTIDADES SUPERVISADAS</w:t>
      </w:r>
      <w:r w:rsidRPr="009C6139">
        <w:rPr>
          <w:rStyle w:val="Refdenotaalpie"/>
          <w:rFonts w:ascii="Arial" w:hAnsi="Arial" w:cs="Arial"/>
          <w:b/>
          <w:bCs/>
          <w:sz w:val="24"/>
          <w:vertAlign w:val="baseline"/>
          <w:lang w:val="es-MX" w:eastAsia="en-US"/>
        </w:rPr>
        <w:t xml:space="preserve"> </w:t>
      </w:r>
      <w:r>
        <w:rPr>
          <w:rStyle w:val="Refdenotaalpie"/>
          <w:rFonts w:ascii="Arial" w:hAnsi="Arial" w:cs="Arial"/>
          <w:szCs w:val="22"/>
          <w:lang w:val="es-MX" w:eastAsia="en-US"/>
        </w:rPr>
        <w:footnoteReference w:id="1"/>
      </w:r>
    </w:p>
    <w:p w14:paraId="3D29109F" w14:textId="11C4777F" w:rsidR="00317E18" w:rsidRPr="009C6139" w:rsidRDefault="00317E18" w:rsidP="009C6139">
      <w:pPr>
        <w:rPr>
          <w:rFonts w:ascii="Arial" w:hAnsi="Arial" w:cs="Arial"/>
          <w:lang w:val="es-MX"/>
        </w:rPr>
      </w:pPr>
    </w:p>
    <w:p w14:paraId="68FE23DB" w14:textId="760191DD" w:rsidR="009C6139" w:rsidRPr="009C6139" w:rsidRDefault="009C6139" w:rsidP="009C6139">
      <w:pPr>
        <w:spacing w:line="276" w:lineRule="auto"/>
        <w:ind w:right="-193"/>
        <w:jc w:val="both"/>
        <w:rPr>
          <w:rFonts w:ascii="Arial" w:hAnsi="Arial" w:cs="Arial"/>
          <w:b/>
          <w:bCs/>
        </w:rPr>
      </w:pPr>
      <w:r w:rsidRPr="009C6139">
        <w:rPr>
          <w:rFonts w:ascii="Arial" w:hAnsi="Arial" w:cs="Arial"/>
          <w:b/>
          <w:bCs/>
        </w:rPr>
        <w:t>Considerando que:</w:t>
      </w:r>
    </w:p>
    <w:p w14:paraId="78B289F5" w14:textId="77777777" w:rsidR="009C6139" w:rsidRPr="009C6139" w:rsidRDefault="009C6139" w:rsidP="009C6139">
      <w:pPr>
        <w:numPr>
          <w:ilvl w:val="0"/>
          <w:numId w:val="2"/>
        </w:numPr>
        <w:tabs>
          <w:tab w:val="left" w:pos="567"/>
        </w:tabs>
        <w:spacing w:after="0" w:line="240" w:lineRule="auto"/>
        <w:ind w:left="567" w:right="-193" w:hanging="567"/>
        <w:jc w:val="both"/>
        <w:rPr>
          <w:rFonts w:ascii="Arial" w:hAnsi="Arial" w:cs="Arial"/>
        </w:rPr>
      </w:pPr>
      <w:r w:rsidRPr="009C6139">
        <w:rPr>
          <w:rFonts w:ascii="Arial" w:hAnsi="Arial" w:cs="Arial"/>
        </w:rPr>
        <w:t xml:space="preserve">La Ley Reguladora del Mercado de Valores (LRMV) establece requisitos de capital mínimo para las bolsas de valores, los puestos de bolsa y las sociedades administradoras de fondos de inversión, como uno de los mecanismos para asegurar la solvencia de los sujetos fiscalizados, y previó mecanismos para su actualización a efecto de que no perdiera su valor en el tiempo. </w:t>
      </w:r>
    </w:p>
    <w:p w14:paraId="74637071" w14:textId="77777777" w:rsidR="009C6139" w:rsidRPr="009C6139" w:rsidRDefault="009C6139" w:rsidP="009C6139">
      <w:pPr>
        <w:numPr>
          <w:ilvl w:val="0"/>
          <w:numId w:val="2"/>
        </w:numPr>
        <w:tabs>
          <w:tab w:val="left" w:pos="567"/>
        </w:tabs>
        <w:spacing w:after="0" w:line="240" w:lineRule="auto"/>
        <w:ind w:left="567" w:right="-193" w:hanging="567"/>
        <w:jc w:val="both"/>
        <w:rPr>
          <w:rFonts w:ascii="Arial" w:hAnsi="Arial" w:cs="Arial"/>
        </w:rPr>
      </w:pPr>
      <w:r w:rsidRPr="009C6139">
        <w:rPr>
          <w:rFonts w:ascii="Arial" w:hAnsi="Arial" w:cs="Arial"/>
        </w:rPr>
        <w:t>De conformidad con los artículos 28, 54 y 66 de la LRMV; las bolsas de valores, los puestos de bolsa y las sociedades administradoras de fondos de inversión deben contar con un capital mínimo suscrito y pagado de ¢200 millones, ¢50 millones y ¢30 millones, respectivamente. El artículo 11 del Reglamento de Bolsas de Valores y el artículo 3 Reglamento General sobre Sociedades Administradoras y Fondos de Inversión establecen que el capital mínimo debe actualizarse con el índice de precios al consumidor. Asimismo, se mantiene constante el valor real del capital mínimo de los puestos de bolsa actualizándolo con el índice de precios al consumidor.</w:t>
      </w:r>
    </w:p>
    <w:p w14:paraId="25DD8362" w14:textId="77777777" w:rsidR="009C6139" w:rsidRPr="009C6139" w:rsidRDefault="009C6139" w:rsidP="009C6139">
      <w:pPr>
        <w:numPr>
          <w:ilvl w:val="0"/>
          <w:numId w:val="2"/>
        </w:numPr>
        <w:tabs>
          <w:tab w:val="left" w:pos="567"/>
        </w:tabs>
        <w:spacing w:after="0" w:line="240" w:lineRule="auto"/>
        <w:ind w:left="567" w:right="-193" w:hanging="567"/>
        <w:jc w:val="both"/>
        <w:rPr>
          <w:rFonts w:ascii="Arial" w:hAnsi="Arial" w:cs="Arial"/>
        </w:rPr>
      </w:pPr>
      <w:r w:rsidRPr="009C6139">
        <w:rPr>
          <w:rFonts w:ascii="Arial" w:hAnsi="Arial" w:cs="Arial"/>
        </w:rPr>
        <w:t xml:space="preserve">Mediante el artículo 13 del acta de la Sesión 1124-2014, celebrada el 8 de setiembre del 2014 y publicados en el Diario Oficial La Gaceta No. 190 del 3 de octubre del 2014, se aprobó el Reglamento sobre sociedades fiduciarias que administren fideicomisos emisores de valores de oferta pública y el Reglamento sobre procesos de titularización. En los incisos c) de los artículos 3 y 24 de estos Reglamentos, respectivamente, se dispuso que las sociedades fiduciarias y las sociedades </w:t>
      </w:r>
      <w:proofErr w:type="spellStart"/>
      <w:r w:rsidRPr="009C6139">
        <w:rPr>
          <w:rFonts w:ascii="Arial" w:hAnsi="Arial" w:cs="Arial"/>
        </w:rPr>
        <w:t>titularizadoras</w:t>
      </w:r>
      <w:proofErr w:type="spellEnd"/>
      <w:r w:rsidRPr="009C6139">
        <w:rPr>
          <w:rFonts w:ascii="Arial" w:hAnsi="Arial" w:cs="Arial"/>
        </w:rPr>
        <w:t xml:space="preserve"> deben contar con un capital mínimo de ¢125 millones</w:t>
      </w:r>
    </w:p>
    <w:p w14:paraId="3E060278" w14:textId="77777777" w:rsidR="009C6139" w:rsidRPr="009C6139" w:rsidRDefault="009C6139" w:rsidP="009C6139">
      <w:pPr>
        <w:numPr>
          <w:ilvl w:val="0"/>
          <w:numId w:val="2"/>
        </w:numPr>
        <w:tabs>
          <w:tab w:val="left" w:pos="567"/>
        </w:tabs>
        <w:spacing w:after="0" w:line="240" w:lineRule="auto"/>
        <w:ind w:left="567" w:right="-193" w:hanging="567"/>
        <w:jc w:val="both"/>
        <w:rPr>
          <w:rFonts w:ascii="Arial" w:hAnsi="Arial" w:cs="Arial"/>
        </w:rPr>
      </w:pPr>
      <w:r w:rsidRPr="009C6139">
        <w:rPr>
          <w:rFonts w:ascii="Arial" w:hAnsi="Arial" w:cs="Arial"/>
        </w:rPr>
        <w:t>Mediante artículo 9 del acta de la sesión 786-2009, celebrada el 12 de junio del 2009. Publicado en el Diario Oficial La Gaceta No. 124 del 29 de junio del 2009, se aprobó el Reglamento de Compensación y Liquidación de Valores y mediante el artículo 12 del acta de la sesión 1088-2014, celebrada el 4 de febrero del 2014 y publicado en el Diario Oficial La Gaceta No.46 del 6 de marzo del 2014 se aprobó la modificación al artículo 24 del Reglamento sobre el Sistema de Anotación en Cuenta. En el inciso a) del artículo 9 y el inciso a) del artículo 24 de estos Reglamentos respectivamente, se dispuso que las sociedades de compensación y liquidación de valores deben contar con un capital mínimo de ¢300 millones y las centrales de valores con un capital mínimo de ¢150 millones.</w:t>
      </w:r>
    </w:p>
    <w:p w14:paraId="07999475" w14:textId="77777777" w:rsidR="009C6139" w:rsidRPr="009C6139" w:rsidRDefault="009C6139" w:rsidP="009C6139">
      <w:pPr>
        <w:numPr>
          <w:ilvl w:val="0"/>
          <w:numId w:val="2"/>
        </w:numPr>
        <w:tabs>
          <w:tab w:val="left" w:pos="567"/>
        </w:tabs>
        <w:spacing w:after="0" w:line="240" w:lineRule="auto"/>
        <w:ind w:left="567" w:right="-193" w:hanging="567"/>
        <w:jc w:val="both"/>
        <w:rPr>
          <w:rFonts w:ascii="Arial" w:hAnsi="Arial" w:cs="Arial"/>
        </w:rPr>
      </w:pPr>
      <w:r w:rsidRPr="009C6139">
        <w:rPr>
          <w:rFonts w:ascii="Arial" w:hAnsi="Arial" w:cs="Arial"/>
        </w:rPr>
        <w:t>De conformidad con el artículo 149 de la LRMV, le corresponde a la Superintendencia General de Valores (SUGEVAL) autorizar el funcionamiento de las sociedades calificadoras de riesgo, para lo cual debe señalar los requisitos y procedimientos que deben cumplir.  El artículo 4, inciso c) del Reglamento sobre calificación de valores y sociedades calificadoras de riesgo, establece que las sociedades calificadoras de riesgo deben contar con un capital mínimo de ¢58 millones, el cual debe actualizarse con el índice de precios al consumidor.</w:t>
      </w:r>
    </w:p>
    <w:p w14:paraId="29E0FE55" w14:textId="77777777" w:rsidR="009C6139" w:rsidRPr="009C6139" w:rsidRDefault="009C6139" w:rsidP="009C6139">
      <w:pPr>
        <w:numPr>
          <w:ilvl w:val="0"/>
          <w:numId w:val="2"/>
        </w:numPr>
        <w:tabs>
          <w:tab w:val="left" w:pos="567"/>
        </w:tabs>
        <w:spacing w:after="0" w:line="240" w:lineRule="auto"/>
        <w:ind w:left="567" w:right="-193" w:hanging="567"/>
        <w:jc w:val="both"/>
        <w:rPr>
          <w:rFonts w:ascii="Arial" w:hAnsi="Arial" w:cs="Arial"/>
        </w:rPr>
      </w:pPr>
      <w:r w:rsidRPr="009C6139">
        <w:rPr>
          <w:rFonts w:ascii="Arial" w:hAnsi="Arial" w:cs="Arial"/>
        </w:rPr>
        <w:t xml:space="preserve">De conformidad con el artículo 11 inciso c) de la Ley sobre letra de cambio y pagaré electrónicos No. 10069, las entidades de registros centralizados de letras de cambio y pagarés electrónicos deben contar con un capital mínimo suscrito y pagado no inferior al equivalente del cincuenta por ciento (50%) del capital mínimo requerido para las </w:t>
      </w:r>
      <w:r w:rsidRPr="009C6139">
        <w:rPr>
          <w:rFonts w:ascii="Arial" w:hAnsi="Arial" w:cs="Arial"/>
        </w:rPr>
        <w:lastRenderedPageBreak/>
        <w:t>centrales de valores, que se ajustará periódicamente de acuerdo con el Índice de Precios al Consumidor.</w:t>
      </w:r>
    </w:p>
    <w:p w14:paraId="3789D4B4" w14:textId="77777777" w:rsidR="009C6139" w:rsidRPr="009C6139" w:rsidRDefault="009C6139" w:rsidP="009C6139">
      <w:pPr>
        <w:numPr>
          <w:ilvl w:val="0"/>
          <w:numId w:val="2"/>
        </w:numPr>
        <w:tabs>
          <w:tab w:val="left" w:pos="567"/>
        </w:tabs>
        <w:spacing w:after="0" w:line="240" w:lineRule="auto"/>
        <w:ind w:left="567" w:right="-193" w:hanging="567"/>
        <w:jc w:val="both"/>
        <w:rPr>
          <w:rFonts w:ascii="Arial" w:hAnsi="Arial" w:cs="Arial"/>
        </w:rPr>
      </w:pPr>
      <w:r w:rsidRPr="009C6139">
        <w:rPr>
          <w:rFonts w:ascii="Arial" w:hAnsi="Arial" w:cs="Arial"/>
        </w:rPr>
        <w:t xml:space="preserve">El ajuste al capital social mínimo de las bolsas de valores, de los puestos de bolsa, de las sociedades administradoras de fondos de inversión, de las sociedades calificadoras de riesgo, de las sociedades fiduciarias, de las sociedades </w:t>
      </w:r>
      <w:proofErr w:type="spellStart"/>
      <w:r w:rsidRPr="009C6139">
        <w:rPr>
          <w:rFonts w:ascii="Arial" w:hAnsi="Arial" w:cs="Arial"/>
        </w:rPr>
        <w:t>titularizadoras</w:t>
      </w:r>
      <w:proofErr w:type="spellEnd"/>
      <w:r w:rsidRPr="009C6139">
        <w:rPr>
          <w:rFonts w:ascii="Arial" w:hAnsi="Arial" w:cs="Arial"/>
        </w:rPr>
        <w:t xml:space="preserve"> y de las entidades de compensación y liquidación de valores toma como punto de partida los valores conforme al Acuerdo SGV-A-276 del del 31 de marzo del 2023.</w:t>
      </w:r>
    </w:p>
    <w:p w14:paraId="3DB1BE5B" w14:textId="77777777" w:rsidR="009C6139" w:rsidRPr="009C6139" w:rsidRDefault="009C6139" w:rsidP="009C6139">
      <w:pPr>
        <w:numPr>
          <w:ilvl w:val="0"/>
          <w:numId w:val="2"/>
        </w:numPr>
        <w:tabs>
          <w:tab w:val="left" w:pos="567"/>
        </w:tabs>
        <w:spacing w:after="0" w:line="240" w:lineRule="auto"/>
        <w:ind w:left="567" w:right="-193" w:hanging="567"/>
        <w:jc w:val="both"/>
        <w:rPr>
          <w:rFonts w:ascii="Arial" w:hAnsi="Arial" w:cs="Arial"/>
        </w:rPr>
      </w:pPr>
      <w:r w:rsidRPr="009C6139">
        <w:rPr>
          <w:rFonts w:ascii="Arial" w:hAnsi="Arial" w:cs="Arial"/>
        </w:rPr>
        <w:t>El requerimiento se ajusta en forma anual a partir del 30 de junio de cada año y se mantiene constante hasta el 29 de junio del año siguiente.</w:t>
      </w:r>
    </w:p>
    <w:p w14:paraId="66E06F0A" w14:textId="77777777" w:rsidR="009C6139" w:rsidRPr="009C6139" w:rsidRDefault="009C6139" w:rsidP="009C6139">
      <w:pPr>
        <w:numPr>
          <w:ilvl w:val="0"/>
          <w:numId w:val="2"/>
        </w:numPr>
        <w:tabs>
          <w:tab w:val="left" w:pos="567"/>
        </w:tabs>
        <w:spacing w:after="0" w:line="240" w:lineRule="auto"/>
        <w:ind w:left="567" w:right="-193" w:hanging="567"/>
        <w:jc w:val="both"/>
        <w:rPr>
          <w:rFonts w:ascii="Arial" w:hAnsi="Arial" w:cs="Arial"/>
        </w:rPr>
      </w:pPr>
      <w:r w:rsidRPr="009C6139">
        <w:rPr>
          <w:rFonts w:ascii="Arial" w:hAnsi="Arial" w:cs="Arial"/>
        </w:rPr>
        <w:t xml:space="preserve">El Banco Central de Costa Rica comunicó a través de su página web que, a partir de diciembre 2020, el Instituto Nacional de Estadística y Censos calcula el Índice de precios al consumidor (IPC) con una nueva base (diciembre 2020). Los niveles de este indicador se enlazaron con las variaciones registradas por el IPC con bases anteriores. Así, al 31 de diciembre del 2022 era de 111,43592172 y al </w:t>
      </w:r>
      <w:bookmarkStart w:id="0" w:name="_Hlk167259593"/>
      <w:r w:rsidRPr="009C6139">
        <w:rPr>
          <w:rFonts w:ascii="Arial" w:hAnsi="Arial" w:cs="Arial"/>
        </w:rPr>
        <w:t xml:space="preserve">31 de diciembre del 2023 </w:t>
      </w:r>
      <w:bookmarkEnd w:id="0"/>
      <w:r w:rsidRPr="009C6139">
        <w:rPr>
          <w:rFonts w:ascii="Arial" w:hAnsi="Arial" w:cs="Arial"/>
        </w:rPr>
        <w:t>el índice de precios al consumidor tenía un valor de 109,46875206.</w:t>
      </w:r>
    </w:p>
    <w:p w14:paraId="4B10C57F" w14:textId="77777777" w:rsidR="009C6139" w:rsidRPr="009C6139" w:rsidRDefault="009C6139" w:rsidP="009C6139">
      <w:pPr>
        <w:numPr>
          <w:ilvl w:val="0"/>
          <w:numId w:val="2"/>
        </w:numPr>
        <w:tabs>
          <w:tab w:val="left" w:pos="567"/>
        </w:tabs>
        <w:spacing w:after="0" w:line="240" w:lineRule="auto"/>
        <w:ind w:left="567" w:right="-193" w:hanging="567"/>
        <w:jc w:val="both"/>
        <w:rPr>
          <w:rFonts w:ascii="Arial" w:hAnsi="Arial" w:cs="Arial"/>
        </w:rPr>
      </w:pPr>
      <w:r w:rsidRPr="009C6139">
        <w:rPr>
          <w:rFonts w:ascii="Arial" w:hAnsi="Arial" w:cs="Arial"/>
        </w:rPr>
        <w:t xml:space="preserve">El capital social exacto requerido de las bolsas de valores, de los puestos de bolsa, de las sociedades administradoras de fondos de inversión, de las sociedades calificadoras de riesgo, de la central de valores,  de las entidades de registros centralizados de letras de cambio y pagarés electrónicos, de las sociedades </w:t>
      </w:r>
      <w:proofErr w:type="spellStart"/>
      <w:r w:rsidRPr="009C6139">
        <w:rPr>
          <w:rFonts w:ascii="Arial" w:hAnsi="Arial" w:cs="Arial"/>
        </w:rPr>
        <w:t>titularizadoras</w:t>
      </w:r>
      <w:proofErr w:type="spellEnd"/>
      <w:r w:rsidRPr="009C6139">
        <w:rPr>
          <w:rFonts w:ascii="Arial" w:hAnsi="Arial" w:cs="Arial"/>
        </w:rPr>
        <w:t>, de las sociedades fiduciarias y de las entidades de compensación y liquidación de valores, según el SGV-A-276 correspondiente al periodo 2023-2024 es de ¢974.130.698,47, ¢231.935.880,59, ¢158.579.416,03, ¢92.774.352,24, ¢186.627.476,07, ¢93.313.738,00, ¢148.870.472,19, ¢148.870.472,19 y ¢464.950.532,71. Por consiguiente, el capital social debe ajustarse para el periodo 2024-2025 a ¢956.806.053,74, ¢227.904.522,04, ¢156.193.185,37, ¢91.358.278,23, ¢183.698.903,54, ¢91.849.451,77, ¢146.369.714,59, ¢146.369.714,59 y ¢456.791.391,16. No obstante, para efectos prácticos, estos montos se redondean a la suma de ¢957 millones, ¢228 millones, ¢156 millones, ¢91 millones, ¢184 millones, ¢92 millones ¢146 millones, ¢146 millones y ¢457 millones, respectivamente.</w:t>
      </w:r>
    </w:p>
    <w:p w14:paraId="5D75846F" w14:textId="77777777" w:rsidR="009C6139" w:rsidRPr="009C6139" w:rsidRDefault="009C6139" w:rsidP="009C6139">
      <w:pPr>
        <w:numPr>
          <w:ilvl w:val="0"/>
          <w:numId w:val="2"/>
        </w:numPr>
        <w:tabs>
          <w:tab w:val="left" w:pos="567"/>
        </w:tabs>
        <w:spacing w:after="0" w:line="240" w:lineRule="auto"/>
        <w:ind w:left="567" w:right="-193" w:hanging="567"/>
        <w:jc w:val="both"/>
        <w:rPr>
          <w:rFonts w:ascii="Arial" w:hAnsi="Arial" w:cs="Arial"/>
        </w:rPr>
      </w:pPr>
      <w:r w:rsidRPr="009C6139">
        <w:rPr>
          <w:rFonts w:ascii="Arial" w:hAnsi="Arial" w:cs="Arial"/>
        </w:rPr>
        <w:t>De conformidad con el artículo 8 inciso h) de la LRMV, le corresponde a la SUGEVAL autorizar los aumentos y las disminuciones de capital de las bolsas, centrales de valores, sociedades administradoras de fondos de inversión, sociedades de compensación y liquidación y demás personas jurídicas sujetas a su fiscalización, salvo las entidades fiscalizadas por la Superintendencia General de Entidades Financieras, los emisores y puestos de bolsa. La autorización para disminuir y aumentar el capital de los puestos de bolsa corresponderá a las bolsas, las cuales deben exigir el cumplimiento de los requisitos de capital establecidos en este Acuerdo.</w:t>
      </w:r>
    </w:p>
    <w:p w14:paraId="0066745D" w14:textId="77777777" w:rsidR="009C6139" w:rsidRPr="009C6139" w:rsidRDefault="009C6139" w:rsidP="009C6139">
      <w:pPr>
        <w:numPr>
          <w:ilvl w:val="0"/>
          <w:numId w:val="2"/>
        </w:numPr>
        <w:tabs>
          <w:tab w:val="left" w:pos="567"/>
        </w:tabs>
        <w:spacing w:after="0" w:line="240" w:lineRule="auto"/>
        <w:ind w:left="567" w:right="-193" w:hanging="567"/>
        <w:jc w:val="both"/>
        <w:rPr>
          <w:rFonts w:ascii="Arial" w:hAnsi="Arial" w:cs="Arial"/>
        </w:rPr>
      </w:pPr>
      <w:r w:rsidRPr="009C6139">
        <w:rPr>
          <w:rFonts w:ascii="Arial" w:hAnsi="Arial" w:cs="Arial"/>
        </w:rPr>
        <w:t>En el Acuerdo SGV-A-2-2024 de fecha 11 de abril del 2024 se actualizaron los montos de capital social mínimo que regirían a partir del 30 de junio del 2024; no obstante, ante la disminución del índice de precios al consumidor del período 2023 y de conformidad con la norma citada en el considerando anterior, es necesario precisar en el Acuerdo SGV-A-2-2024 que las entidades pueden realizar tanto el trámite de aumento como de disminución de capital social en los términos dispuestos en la LRMV, lo cual dependerá de las condiciones particulares de cada entidad.</w:t>
      </w:r>
    </w:p>
    <w:p w14:paraId="758AC5AF" w14:textId="43541B29" w:rsidR="009C6139" w:rsidRDefault="009C6139" w:rsidP="009C6139">
      <w:pPr>
        <w:numPr>
          <w:ilvl w:val="0"/>
          <w:numId w:val="2"/>
        </w:numPr>
        <w:tabs>
          <w:tab w:val="left" w:pos="567"/>
        </w:tabs>
        <w:spacing w:after="0" w:line="240" w:lineRule="auto"/>
        <w:ind w:left="567" w:right="-193" w:hanging="567"/>
        <w:jc w:val="both"/>
        <w:rPr>
          <w:rFonts w:ascii="Arial" w:hAnsi="Arial" w:cs="Arial"/>
        </w:rPr>
      </w:pPr>
      <w:r w:rsidRPr="009C6139">
        <w:rPr>
          <w:rFonts w:ascii="Arial" w:hAnsi="Arial" w:cs="Arial"/>
        </w:rPr>
        <w:t>Se prescinde del trámite de consulta dispuesto en el artículo 361 de la Ley General de Administración Pública, tomando en cuenta que este Acuerdo se hace en observancia a los parámetros establecidos en las disposiciones legales y reglamentarias vigentes en materia del capital mínimo requerido.</w:t>
      </w:r>
    </w:p>
    <w:p w14:paraId="0CA2BFBA" w14:textId="5AA1EF27" w:rsidR="009C6139" w:rsidRDefault="009C6139" w:rsidP="009C6139">
      <w:pPr>
        <w:tabs>
          <w:tab w:val="left" w:pos="567"/>
        </w:tabs>
        <w:spacing w:after="0" w:line="240" w:lineRule="auto"/>
        <w:ind w:left="567" w:right="-193"/>
        <w:jc w:val="both"/>
        <w:rPr>
          <w:rFonts w:ascii="Arial" w:hAnsi="Arial" w:cs="Arial"/>
        </w:rPr>
      </w:pPr>
    </w:p>
    <w:p w14:paraId="116087EF" w14:textId="3F4B8A5B" w:rsidR="009C6139" w:rsidRDefault="009C6139" w:rsidP="009C6139">
      <w:pPr>
        <w:tabs>
          <w:tab w:val="left" w:pos="567"/>
        </w:tabs>
        <w:spacing w:after="0" w:line="240" w:lineRule="auto"/>
        <w:ind w:left="567" w:right="-193"/>
        <w:jc w:val="both"/>
        <w:rPr>
          <w:rFonts w:ascii="Arial" w:hAnsi="Arial" w:cs="Arial"/>
        </w:rPr>
      </w:pPr>
    </w:p>
    <w:p w14:paraId="5007972E" w14:textId="77777777" w:rsidR="009C6139" w:rsidRPr="009C6139" w:rsidRDefault="009C6139" w:rsidP="009C6139">
      <w:pPr>
        <w:tabs>
          <w:tab w:val="left" w:pos="567"/>
        </w:tabs>
        <w:spacing w:after="0" w:line="240" w:lineRule="auto"/>
        <w:ind w:left="567" w:right="-193"/>
        <w:jc w:val="both"/>
        <w:rPr>
          <w:rFonts w:ascii="Arial" w:hAnsi="Arial" w:cs="Arial"/>
        </w:rPr>
      </w:pPr>
    </w:p>
    <w:p w14:paraId="031DD63E" w14:textId="4E3F9C8C" w:rsidR="009C6139" w:rsidRPr="009C6139" w:rsidRDefault="009C6139" w:rsidP="009C6139">
      <w:pPr>
        <w:jc w:val="both"/>
        <w:rPr>
          <w:rFonts w:ascii="Arial" w:eastAsia="Calibri" w:hAnsi="Arial" w:cs="Arial"/>
          <w:b/>
          <w:bCs/>
        </w:rPr>
      </w:pPr>
      <w:r w:rsidRPr="009C6139">
        <w:rPr>
          <w:rFonts w:ascii="Arial" w:eastAsia="Calibri" w:hAnsi="Arial" w:cs="Arial"/>
          <w:b/>
          <w:bCs/>
        </w:rPr>
        <w:lastRenderedPageBreak/>
        <w:t>Por tanto, dispone el presente Acuerdo:</w:t>
      </w:r>
    </w:p>
    <w:p w14:paraId="2AB0AAB1" w14:textId="77777777" w:rsidR="009C6139" w:rsidRPr="009C6139" w:rsidRDefault="009C6139" w:rsidP="009C6139">
      <w:pPr>
        <w:jc w:val="center"/>
        <w:rPr>
          <w:rFonts w:ascii="Arial" w:hAnsi="Arial" w:cs="Arial"/>
          <w:b/>
        </w:rPr>
      </w:pPr>
      <w:r w:rsidRPr="009C6139">
        <w:rPr>
          <w:rFonts w:ascii="Arial" w:hAnsi="Arial" w:cs="Arial"/>
          <w:b/>
        </w:rPr>
        <w:t xml:space="preserve">SGV-A-3-2024.  AJUSTE AL CAPITAL SOCIAL SUSCRITO Y PAGADO DE ENTIDADES SUPERVISADAS </w:t>
      </w:r>
    </w:p>
    <w:p w14:paraId="56911B8C" w14:textId="77777777" w:rsidR="009C6139" w:rsidRPr="009C6139" w:rsidRDefault="009C6139" w:rsidP="009C6139">
      <w:pPr>
        <w:jc w:val="center"/>
        <w:rPr>
          <w:rFonts w:ascii="Arial" w:hAnsi="Arial" w:cs="Arial"/>
          <w:b/>
        </w:rPr>
      </w:pPr>
      <w:r w:rsidRPr="009C6139">
        <w:rPr>
          <w:rFonts w:ascii="Arial" w:hAnsi="Arial" w:cs="Arial"/>
          <w:b/>
        </w:rPr>
        <w:t xml:space="preserve">  </w:t>
      </w:r>
    </w:p>
    <w:p w14:paraId="3C17010F" w14:textId="796582B8" w:rsidR="009C6139" w:rsidRPr="009C6139" w:rsidRDefault="009C6139" w:rsidP="009C6139">
      <w:pPr>
        <w:jc w:val="both"/>
        <w:rPr>
          <w:rFonts w:ascii="Arial" w:eastAsia="Calibri" w:hAnsi="Arial" w:cs="Arial"/>
          <w:b/>
          <w:color w:val="000000"/>
          <w:lang w:eastAsia="es-CR"/>
        </w:rPr>
      </w:pPr>
      <w:r w:rsidRPr="009C6139">
        <w:rPr>
          <w:rFonts w:ascii="Arial" w:eastAsia="Calibri" w:hAnsi="Arial" w:cs="Arial"/>
          <w:b/>
          <w:color w:val="000000"/>
          <w:lang w:eastAsia="es-CR"/>
        </w:rPr>
        <w:t>Artículo 1. Actualización del Capital Social.</w:t>
      </w:r>
    </w:p>
    <w:p w14:paraId="599070E4" w14:textId="77777777" w:rsidR="009C6139" w:rsidRPr="009C6139" w:rsidRDefault="009C6139" w:rsidP="009C6139">
      <w:pPr>
        <w:pStyle w:val="Textodereglamento"/>
        <w:spacing w:before="0"/>
        <w:rPr>
          <w:rFonts w:ascii="Arial" w:hAnsi="Arial" w:cs="Arial"/>
          <w:bCs/>
          <w:szCs w:val="22"/>
          <w:lang w:val="es-MX" w:eastAsia="en-US"/>
        </w:rPr>
      </w:pPr>
      <w:r w:rsidRPr="009C6139">
        <w:rPr>
          <w:rFonts w:ascii="Arial" w:hAnsi="Arial" w:cs="Arial"/>
          <w:bCs/>
          <w:szCs w:val="22"/>
          <w:lang w:val="es-MX" w:eastAsia="en-US"/>
        </w:rPr>
        <w:t xml:space="preserve">Las bolsas de valores, de los puestos de bolsa, de las sociedades administradoras de fondos de inversión, de las sociedades calificadoras de riesgo, de la central </w:t>
      </w:r>
      <w:r w:rsidRPr="009C6139">
        <w:rPr>
          <w:rFonts w:ascii="Arial" w:hAnsi="Arial" w:cs="Arial"/>
          <w:szCs w:val="22"/>
          <w:lang w:val="es-CR" w:eastAsia="es-CR"/>
        </w:rPr>
        <w:t xml:space="preserve">de valores, de </w:t>
      </w:r>
      <w:r w:rsidRPr="009C6139">
        <w:rPr>
          <w:rFonts w:ascii="Arial" w:hAnsi="Arial" w:cs="Arial"/>
          <w:bCs/>
          <w:szCs w:val="22"/>
          <w:lang w:val="es-MX" w:eastAsia="en-US"/>
        </w:rPr>
        <w:t>las entidades de registros centralizados de letras de cambio y pagarés electrónicos,</w:t>
      </w:r>
      <w:r w:rsidRPr="009C6139">
        <w:rPr>
          <w:rFonts w:ascii="Arial" w:hAnsi="Arial" w:cs="Arial"/>
          <w:szCs w:val="22"/>
          <w:lang w:val="es-CR" w:eastAsia="es-CR"/>
        </w:rPr>
        <w:t xml:space="preserve"> </w:t>
      </w:r>
      <w:r w:rsidRPr="009C6139">
        <w:rPr>
          <w:rFonts w:ascii="Arial" w:hAnsi="Arial" w:cs="Arial"/>
          <w:bCs/>
          <w:szCs w:val="22"/>
          <w:lang w:val="es-MX" w:eastAsia="en-US"/>
        </w:rPr>
        <w:t xml:space="preserve">de las sociedades </w:t>
      </w:r>
      <w:proofErr w:type="spellStart"/>
      <w:r w:rsidRPr="009C6139">
        <w:rPr>
          <w:rFonts w:ascii="Arial" w:hAnsi="Arial" w:cs="Arial"/>
          <w:bCs/>
          <w:szCs w:val="22"/>
          <w:lang w:val="es-MX" w:eastAsia="en-US"/>
        </w:rPr>
        <w:t>titularizadoras</w:t>
      </w:r>
      <w:proofErr w:type="spellEnd"/>
      <w:r w:rsidRPr="009C6139">
        <w:rPr>
          <w:rFonts w:ascii="Arial" w:hAnsi="Arial" w:cs="Arial"/>
          <w:bCs/>
          <w:szCs w:val="22"/>
          <w:lang w:val="es-MX" w:eastAsia="en-US"/>
        </w:rPr>
        <w:t>, de las sociedades fiduciarias, y de las entidades</w:t>
      </w:r>
      <w:r w:rsidRPr="009C6139">
        <w:rPr>
          <w:rFonts w:ascii="Arial" w:hAnsi="Arial" w:cs="Arial"/>
          <w:szCs w:val="22"/>
          <w:lang w:val="es-CR" w:eastAsia="es-CR"/>
        </w:rPr>
        <w:t xml:space="preserve"> de compensación y liquidación de valores</w:t>
      </w:r>
      <w:r w:rsidRPr="009C6139">
        <w:rPr>
          <w:rFonts w:ascii="Arial" w:hAnsi="Arial" w:cs="Arial"/>
          <w:bCs/>
          <w:szCs w:val="22"/>
          <w:lang w:val="es-MX" w:eastAsia="en-US"/>
        </w:rPr>
        <w:t>, deben ajustar el capital social mínimo de la siguiente forma:</w:t>
      </w:r>
    </w:p>
    <w:p w14:paraId="1547CFDE" w14:textId="77777777" w:rsidR="009C6139" w:rsidRPr="009C6139" w:rsidRDefault="009C6139" w:rsidP="009C6139">
      <w:pPr>
        <w:pStyle w:val="Textodereglamento"/>
        <w:spacing w:before="0"/>
        <w:rPr>
          <w:rFonts w:ascii="Arial" w:hAnsi="Arial" w:cs="Arial"/>
          <w:bCs/>
          <w:szCs w:val="22"/>
          <w:lang w:val="es-MX" w:eastAsia="en-US"/>
        </w:rPr>
      </w:pPr>
    </w:p>
    <w:p w14:paraId="7EFE46D8" w14:textId="77777777" w:rsidR="009C6139" w:rsidRPr="009C6139" w:rsidRDefault="009C6139" w:rsidP="009C6139">
      <w:pPr>
        <w:pStyle w:val="Prrafodelista"/>
        <w:numPr>
          <w:ilvl w:val="0"/>
          <w:numId w:val="3"/>
        </w:numPr>
        <w:spacing w:after="0" w:line="240" w:lineRule="auto"/>
        <w:jc w:val="both"/>
        <w:rPr>
          <w:rFonts w:ascii="Arial" w:hAnsi="Arial" w:cs="Arial"/>
          <w:bCs/>
          <w:lang w:val="es-MX"/>
        </w:rPr>
      </w:pPr>
      <w:r w:rsidRPr="009C6139">
        <w:rPr>
          <w:rFonts w:ascii="Arial" w:hAnsi="Arial" w:cs="Arial"/>
          <w:bCs/>
          <w:lang w:val="es-MX"/>
        </w:rPr>
        <w:t>Las bolsas de valores deben contar con un capital social mínimo suscrito y pagado de novecientos cincuenta y siete millones de colones (¢957.000.000).</w:t>
      </w:r>
    </w:p>
    <w:p w14:paraId="7BF0CC71" w14:textId="77777777" w:rsidR="009C6139" w:rsidRPr="009C6139" w:rsidRDefault="009C6139" w:rsidP="009C6139">
      <w:pPr>
        <w:ind w:left="567" w:hanging="567"/>
        <w:jc w:val="both"/>
        <w:rPr>
          <w:rFonts w:ascii="Arial" w:hAnsi="Arial" w:cs="Arial"/>
          <w:bCs/>
          <w:color w:val="70AD47" w:themeColor="accent6"/>
          <w:lang w:val="es-MX"/>
        </w:rPr>
      </w:pPr>
    </w:p>
    <w:p w14:paraId="5FE0148B" w14:textId="77777777" w:rsidR="009C6139" w:rsidRPr="009C6139" w:rsidRDefault="009C6139" w:rsidP="009C6139">
      <w:pPr>
        <w:pStyle w:val="Prrafodelista"/>
        <w:numPr>
          <w:ilvl w:val="0"/>
          <w:numId w:val="3"/>
        </w:numPr>
        <w:spacing w:after="0" w:line="240" w:lineRule="auto"/>
        <w:jc w:val="both"/>
        <w:rPr>
          <w:rFonts w:ascii="Arial" w:hAnsi="Arial" w:cs="Arial"/>
          <w:bCs/>
          <w:lang w:val="es-MX"/>
        </w:rPr>
      </w:pPr>
      <w:r w:rsidRPr="009C6139">
        <w:rPr>
          <w:rFonts w:ascii="Arial" w:hAnsi="Arial" w:cs="Arial"/>
          <w:bCs/>
          <w:lang w:val="es-MX"/>
        </w:rPr>
        <w:t>Los puestos de bolsa deben contar con un capital social mínimo suscrito y pagado de doscientos veinte y ocho millones de colones (¢228.000.000).</w:t>
      </w:r>
    </w:p>
    <w:p w14:paraId="3280FE53" w14:textId="77777777" w:rsidR="009C6139" w:rsidRPr="009C6139" w:rsidRDefault="009C6139" w:rsidP="009C6139">
      <w:pPr>
        <w:jc w:val="both"/>
        <w:rPr>
          <w:rFonts w:ascii="Arial" w:hAnsi="Arial" w:cs="Arial"/>
          <w:bCs/>
          <w:color w:val="70AD47" w:themeColor="accent6"/>
          <w:lang w:val="es-MX"/>
        </w:rPr>
      </w:pPr>
    </w:p>
    <w:p w14:paraId="19A98A39" w14:textId="77777777" w:rsidR="009C6139" w:rsidRPr="009C6139" w:rsidRDefault="009C6139" w:rsidP="009C6139">
      <w:pPr>
        <w:pStyle w:val="Prrafodelista"/>
        <w:numPr>
          <w:ilvl w:val="0"/>
          <w:numId w:val="3"/>
        </w:numPr>
        <w:spacing w:after="0" w:line="240" w:lineRule="auto"/>
        <w:jc w:val="both"/>
        <w:rPr>
          <w:rFonts w:ascii="Arial" w:hAnsi="Arial" w:cs="Arial"/>
          <w:bCs/>
          <w:lang w:val="es-MX"/>
        </w:rPr>
      </w:pPr>
      <w:r w:rsidRPr="009C6139">
        <w:rPr>
          <w:rFonts w:ascii="Arial" w:hAnsi="Arial" w:cs="Arial"/>
          <w:bCs/>
          <w:lang w:val="es-MX"/>
        </w:rPr>
        <w:t xml:space="preserve">Las sociedades administradoras de fondos de inversión deben contar con un capital social mínimo suscrito y pagado de ciento cincuenta y seis millones de colones (¢156.000.000). </w:t>
      </w:r>
    </w:p>
    <w:p w14:paraId="18287EE8" w14:textId="77777777" w:rsidR="009C6139" w:rsidRPr="009C6139" w:rsidRDefault="009C6139" w:rsidP="009C6139">
      <w:pPr>
        <w:jc w:val="both"/>
        <w:rPr>
          <w:rFonts w:ascii="Arial" w:hAnsi="Arial" w:cs="Arial"/>
          <w:bCs/>
          <w:color w:val="70AD47" w:themeColor="accent6"/>
          <w:lang w:val="es-MX"/>
        </w:rPr>
      </w:pPr>
    </w:p>
    <w:p w14:paraId="649947B8" w14:textId="77777777" w:rsidR="009C6139" w:rsidRPr="009C6139" w:rsidRDefault="009C6139" w:rsidP="009C6139">
      <w:pPr>
        <w:pStyle w:val="Prrafodelista"/>
        <w:numPr>
          <w:ilvl w:val="0"/>
          <w:numId w:val="3"/>
        </w:numPr>
        <w:spacing w:after="0" w:line="240" w:lineRule="auto"/>
        <w:jc w:val="both"/>
        <w:rPr>
          <w:rFonts w:ascii="Arial" w:hAnsi="Arial" w:cs="Arial"/>
          <w:bCs/>
          <w:lang w:val="es-MX"/>
        </w:rPr>
      </w:pPr>
      <w:r w:rsidRPr="009C6139">
        <w:rPr>
          <w:rFonts w:ascii="Arial" w:hAnsi="Arial" w:cs="Arial"/>
          <w:bCs/>
          <w:lang w:val="es-MX"/>
        </w:rPr>
        <w:t>Las sociedades calificadoras de riesgo deben contar con un capital social mínimo suscrito y pagado de noventa y un millón de colones (¢91.000.000).</w:t>
      </w:r>
    </w:p>
    <w:p w14:paraId="67615BF2" w14:textId="77777777" w:rsidR="009C6139" w:rsidRPr="009C6139" w:rsidRDefault="009C6139" w:rsidP="009C6139">
      <w:pPr>
        <w:ind w:left="567" w:hanging="567"/>
        <w:jc w:val="both"/>
        <w:rPr>
          <w:rFonts w:ascii="Arial" w:hAnsi="Arial" w:cs="Arial"/>
          <w:bCs/>
          <w:lang w:val="es-MX"/>
        </w:rPr>
      </w:pPr>
    </w:p>
    <w:p w14:paraId="1D1147A8" w14:textId="77777777" w:rsidR="009C6139" w:rsidRPr="009C6139" w:rsidRDefault="009C6139" w:rsidP="009C6139">
      <w:pPr>
        <w:pStyle w:val="Prrafodelista"/>
        <w:numPr>
          <w:ilvl w:val="0"/>
          <w:numId w:val="3"/>
        </w:numPr>
        <w:spacing w:after="0" w:line="240" w:lineRule="auto"/>
        <w:jc w:val="both"/>
        <w:rPr>
          <w:rFonts w:ascii="Arial" w:hAnsi="Arial" w:cs="Arial"/>
          <w:bCs/>
          <w:lang w:val="es-MX"/>
        </w:rPr>
      </w:pPr>
      <w:r w:rsidRPr="009C6139">
        <w:rPr>
          <w:rFonts w:ascii="Arial" w:hAnsi="Arial" w:cs="Arial"/>
          <w:bCs/>
          <w:lang w:val="es-MX"/>
        </w:rPr>
        <w:t>Las centrales de valores deben contar con un capital social mínimo suscrito y pagado de ciento ochenta y cuatro millones de colones (¢184.000.000).</w:t>
      </w:r>
    </w:p>
    <w:p w14:paraId="3AF6AB5C" w14:textId="77777777" w:rsidR="009C6139" w:rsidRPr="009C6139" w:rsidRDefault="009C6139" w:rsidP="009C6139">
      <w:pPr>
        <w:pStyle w:val="Prrafodelista"/>
        <w:rPr>
          <w:rFonts w:ascii="Arial" w:hAnsi="Arial" w:cs="Arial"/>
          <w:bCs/>
          <w:color w:val="70AD47" w:themeColor="accent6"/>
          <w:lang w:val="es-MX"/>
        </w:rPr>
      </w:pPr>
    </w:p>
    <w:p w14:paraId="2418AC29" w14:textId="77777777" w:rsidR="009C6139" w:rsidRPr="009C6139" w:rsidRDefault="009C6139" w:rsidP="009C6139">
      <w:pPr>
        <w:pStyle w:val="Prrafodelista"/>
        <w:numPr>
          <w:ilvl w:val="0"/>
          <w:numId w:val="3"/>
        </w:numPr>
        <w:spacing w:after="0" w:line="240" w:lineRule="auto"/>
        <w:jc w:val="both"/>
        <w:rPr>
          <w:rFonts w:ascii="Arial" w:hAnsi="Arial" w:cs="Arial"/>
          <w:bCs/>
          <w:lang w:val="es-MX"/>
        </w:rPr>
      </w:pPr>
      <w:r w:rsidRPr="009C6139">
        <w:rPr>
          <w:rFonts w:ascii="Arial" w:hAnsi="Arial" w:cs="Arial"/>
          <w:bCs/>
          <w:lang w:val="es-MX"/>
        </w:rPr>
        <w:t>Las entidades de registros centralizados de letras de cambio y pagarés electrónicos deben contar con un capital social mínimo suscrito y pagado de noventa y dos millones de colones (¢92.000.000).</w:t>
      </w:r>
    </w:p>
    <w:p w14:paraId="61915C29" w14:textId="77777777" w:rsidR="009C6139" w:rsidRPr="009C6139" w:rsidRDefault="009C6139" w:rsidP="009C6139">
      <w:pPr>
        <w:jc w:val="both"/>
        <w:rPr>
          <w:rFonts w:ascii="Arial" w:hAnsi="Arial" w:cs="Arial"/>
          <w:bCs/>
          <w:color w:val="70AD47" w:themeColor="accent6"/>
          <w:lang w:val="es-MX"/>
        </w:rPr>
      </w:pPr>
    </w:p>
    <w:p w14:paraId="208984BC" w14:textId="77777777" w:rsidR="009C6139" w:rsidRPr="009C6139" w:rsidRDefault="009C6139" w:rsidP="009C6139">
      <w:pPr>
        <w:pStyle w:val="Prrafodelista"/>
        <w:numPr>
          <w:ilvl w:val="0"/>
          <w:numId w:val="3"/>
        </w:numPr>
        <w:spacing w:after="0" w:line="240" w:lineRule="auto"/>
        <w:jc w:val="both"/>
        <w:rPr>
          <w:rFonts w:ascii="Arial" w:hAnsi="Arial" w:cs="Arial"/>
          <w:bCs/>
          <w:lang w:val="es-MX"/>
        </w:rPr>
      </w:pPr>
      <w:r w:rsidRPr="009C6139">
        <w:rPr>
          <w:rFonts w:ascii="Arial" w:hAnsi="Arial" w:cs="Arial"/>
          <w:bCs/>
          <w:lang w:val="es-MX"/>
        </w:rPr>
        <w:t xml:space="preserve">Las sociedades </w:t>
      </w:r>
      <w:proofErr w:type="spellStart"/>
      <w:r w:rsidRPr="009C6139">
        <w:rPr>
          <w:rFonts w:ascii="Arial" w:hAnsi="Arial" w:cs="Arial"/>
          <w:bCs/>
          <w:lang w:val="es-MX"/>
        </w:rPr>
        <w:t>titularizadoras</w:t>
      </w:r>
      <w:proofErr w:type="spellEnd"/>
      <w:r w:rsidRPr="009C6139">
        <w:rPr>
          <w:rFonts w:ascii="Arial" w:hAnsi="Arial" w:cs="Arial"/>
          <w:bCs/>
          <w:lang w:val="es-MX"/>
        </w:rPr>
        <w:t xml:space="preserve"> deben contar con un capital social mínimo suscrito y pagado de ciento cuarenta y seis millones de colones (¢146.000.000).</w:t>
      </w:r>
    </w:p>
    <w:p w14:paraId="56B5F317" w14:textId="77777777" w:rsidR="009C6139" w:rsidRPr="009C6139" w:rsidRDefault="009C6139" w:rsidP="009C6139">
      <w:pPr>
        <w:pStyle w:val="Prrafodelista"/>
        <w:jc w:val="both"/>
        <w:rPr>
          <w:rFonts w:ascii="Arial" w:hAnsi="Arial" w:cs="Arial"/>
          <w:bCs/>
          <w:color w:val="70AD47" w:themeColor="accent6"/>
          <w:lang w:val="es-MX"/>
        </w:rPr>
      </w:pPr>
    </w:p>
    <w:p w14:paraId="1D3BAE8C" w14:textId="77777777" w:rsidR="009C6139" w:rsidRPr="009C6139" w:rsidRDefault="009C6139" w:rsidP="009C6139">
      <w:pPr>
        <w:pStyle w:val="Prrafodelista"/>
        <w:numPr>
          <w:ilvl w:val="0"/>
          <w:numId w:val="3"/>
        </w:numPr>
        <w:spacing w:after="0" w:line="240" w:lineRule="auto"/>
        <w:jc w:val="both"/>
        <w:rPr>
          <w:rFonts w:ascii="Arial" w:hAnsi="Arial" w:cs="Arial"/>
          <w:bCs/>
          <w:lang w:val="es-MX"/>
        </w:rPr>
      </w:pPr>
      <w:r w:rsidRPr="009C6139">
        <w:rPr>
          <w:rFonts w:ascii="Arial" w:hAnsi="Arial" w:cs="Arial"/>
          <w:bCs/>
          <w:lang w:val="es-MX"/>
        </w:rPr>
        <w:t>Las sociedades fiduciarias deben contar con un capital social mínimo suscrito y pagado de ciento cuarenta y seis millones de colones (¢146.000.000).</w:t>
      </w:r>
    </w:p>
    <w:p w14:paraId="15A3E7A3" w14:textId="77777777" w:rsidR="009C6139" w:rsidRPr="009C6139" w:rsidRDefault="009C6139" w:rsidP="009C6139">
      <w:pPr>
        <w:pStyle w:val="Prrafodelista"/>
        <w:jc w:val="both"/>
        <w:rPr>
          <w:rFonts w:ascii="Arial" w:hAnsi="Arial" w:cs="Arial"/>
          <w:bCs/>
          <w:color w:val="70AD47" w:themeColor="accent6"/>
          <w:lang w:val="es-MX"/>
        </w:rPr>
      </w:pPr>
    </w:p>
    <w:p w14:paraId="4BFA0339" w14:textId="77777777" w:rsidR="009C6139" w:rsidRPr="009C6139" w:rsidRDefault="009C6139" w:rsidP="009C6139">
      <w:pPr>
        <w:pStyle w:val="Prrafodelista"/>
        <w:numPr>
          <w:ilvl w:val="0"/>
          <w:numId w:val="3"/>
        </w:numPr>
        <w:spacing w:after="0" w:line="240" w:lineRule="auto"/>
        <w:jc w:val="both"/>
        <w:rPr>
          <w:rFonts w:ascii="Arial" w:hAnsi="Arial" w:cs="Arial"/>
          <w:bCs/>
          <w:lang w:val="es-MX"/>
        </w:rPr>
      </w:pPr>
      <w:r w:rsidRPr="009C6139">
        <w:rPr>
          <w:rFonts w:ascii="Arial" w:hAnsi="Arial" w:cs="Arial"/>
          <w:bCs/>
          <w:lang w:val="es-MX"/>
        </w:rPr>
        <w:t>Las sociedades de compensación y liquidación de valores deben contar con un capital social mínimo suscrito y pagado de cuatrocientos cincuenta y siete millones de colones (¢457.000.000).</w:t>
      </w:r>
    </w:p>
    <w:p w14:paraId="515A8596" w14:textId="77777777" w:rsidR="009C6139" w:rsidRPr="009C6139" w:rsidRDefault="009C6139" w:rsidP="009C6139">
      <w:pPr>
        <w:ind w:left="567" w:hanging="567"/>
        <w:jc w:val="both"/>
        <w:rPr>
          <w:rFonts w:ascii="Arial" w:hAnsi="Arial" w:cs="Arial"/>
          <w:bCs/>
          <w:color w:val="70AD47" w:themeColor="accent6"/>
          <w:lang w:val="es-MX"/>
        </w:rPr>
      </w:pPr>
    </w:p>
    <w:p w14:paraId="25655726" w14:textId="57DFE4A9" w:rsidR="009C6139" w:rsidRPr="009C6139" w:rsidRDefault="009C6139" w:rsidP="009C6139">
      <w:pPr>
        <w:jc w:val="both"/>
        <w:rPr>
          <w:rFonts w:ascii="Arial" w:hAnsi="Arial" w:cs="Arial"/>
          <w:bCs/>
          <w:lang w:val="es-MX"/>
        </w:rPr>
      </w:pPr>
      <w:r w:rsidRPr="009C6139">
        <w:rPr>
          <w:rFonts w:ascii="Arial" w:hAnsi="Arial" w:cs="Arial"/>
          <w:bCs/>
          <w:lang w:val="es-MX"/>
        </w:rPr>
        <w:lastRenderedPageBreak/>
        <w:t xml:space="preserve">Las bolsas de valores, las sociedades administradoras de fondos de inversión, las sociedades calificadoras de riesgo, las centrales de valores, entidades de registros centralizados de letras de cambio y pagarés electrónicos, las sociedades de compensación y liquidación de valores, las sociedades fiduciarias y las sociedades </w:t>
      </w:r>
      <w:proofErr w:type="spellStart"/>
      <w:r w:rsidRPr="009C6139">
        <w:rPr>
          <w:rFonts w:ascii="Arial" w:hAnsi="Arial" w:cs="Arial"/>
          <w:bCs/>
          <w:lang w:val="es-MX"/>
        </w:rPr>
        <w:t>titularizadoras</w:t>
      </w:r>
      <w:proofErr w:type="spellEnd"/>
      <w:r w:rsidRPr="009C6139">
        <w:rPr>
          <w:rFonts w:ascii="Arial" w:hAnsi="Arial" w:cs="Arial"/>
          <w:bCs/>
          <w:lang w:val="es-MX"/>
        </w:rPr>
        <w:t xml:space="preserve"> deben presentar, en los casos necesarios, ante esta Superintendencia la solicitud de aumento o disminución de capital y una copia certificada por notario público del acta de asamblea de accionistas, en la que conste la autorización para llevar a cabo la variación. </w:t>
      </w:r>
    </w:p>
    <w:p w14:paraId="42993B71" w14:textId="02D3544F" w:rsidR="009C6139" w:rsidRPr="009C6139" w:rsidRDefault="009C6139" w:rsidP="009C6139">
      <w:pPr>
        <w:jc w:val="both"/>
        <w:rPr>
          <w:rFonts w:ascii="Arial" w:hAnsi="Arial" w:cs="Arial"/>
          <w:bCs/>
          <w:lang w:val="es-MX"/>
        </w:rPr>
      </w:pPr>
      <w:r w:rsidRPr="009C6139">
        <w:rPr>
          <w:rFonts w:ascii="Arial" w:hAnsi="Arial" w:cs="Arial"/>
          <w:bCs/>
          <w:lang w:val="es-MX"/>
        </w:rPr>
        <w:t xml:space="preserve">En el caso de las sociedades administradoras de fondos de inversión, también se debe cumplir con lo dispuesto en el artículo 6 del Acuerdo SUGEVAL 8-09 Reglamento general sobre sociedades administradoras y fondos de inversión, las sociedades de compensación y liquidación de valores con lo dispuesto en el artículo 53 del Acuerdo SUGEVAL 10-09 Reglamento de compensación y liquidación de valores, en las sociedades fiduciarias con lo dispuesto en el artículo 5 del Acuerdo SUGEVAL 16-14 Reglamento sobre sociedades fiduciarias que administren fideicomisos emisores de valores de oferta pública, en las sociedades </w:t>
      </w:r>
      <w:proofErr w:type="spellStart"/>
      <w:r w:rsidRPr="009C6139">
        <w:rPr>
          <w:rFonts w:ascii="Arial" w:hAnsi="Arial" w:cs="Arial"/>
          <w:bCs/>
          <w:lang w:val="es-MX"/>
        </w:rPr>
        <w:t>titularizadoras</w:t>
      </w:r>
      <w:proofErr w:type="spellEnd"/>
      <w:r w:rsidRPr="009C6139">
        <w:rPr>
          <w:rFonts w:ascii="Arial" w:hAnsi="Arial" w:cs="Arial"/>
          <w:bCs/>
          <w:lang w:val="es-MX"/>
        </w:rPr>
        <w:t xml:space="preserve"> con lo dispuesto en el artículo 26 del Acuerdo 15-14 Reglamento sobre procesos de titularización, y en el caso de entidades de registros centralizados de letras de cambio y pagarés electrónicos con lo dispuesto en el artículo 5 inciso c) del Acuerdo SUGEVAL 21-23 Reglamento sobre Entidades de Registros Centralizados de letras de cambio y pagarés electrónicos.</w:t>
      </w:r>
    </w:p>
    <w:p w14:paraId="4EA36D9D" w14:textId="784ED1CB" w:rsidR="009C6139" w:rsidRPr="009C6139" w:rsidRDefault="009C6139" w:rsidP="009C6139">
      <w:pPr>
        <w:jc w:val="both"/>
        <w:rPr>
          <w:rFonts w:ascii="Arial" w:hAnsi="Arial" w:cs="Arial"/>
          <w:bCs/>
          <w:lang w:val="es-MX"/>
        </w:rPr>
      </w:pPr>
      <w:r w:rsidRPr="009C6139">
        <w:rPr>
          <w:rFonts w:ascii="Arial" w:hAnsi="Arial" w:cs="Arial"/>
          <w:bCs/>
          <w:lang w:val="es-MX"/>
        </w:rPr>
        <w:t xml:space="preserve">Los puestos de bolsa deben remitir dicha documentación a la bolsa de valores, así como cualquier otro documento que reglamentariamente establezca la bolsa. </w:t>
      </w:r>
    </w:p>
    <w:p w14:paraId="187CE062" w14:textId="05390A5A" w:rsidR="009C6139" w:rsidRPr="009C6139" w:rsidRDefault="009C6139" w:rsidP="009C6139">
      <w:pPr>
        <w:jc w:val="both"/>
        <w:rPr>
          <w:rFonts w:ascii="Arial" w:hAnsi="Arial" w:cs="Arial"/>
          <w:bCs/>
          <w:lang w:val="es-MX"/>
        </w:rPr>
      </w:pPr>
      <w:r w:rsidRPr="009C6139">
        <w:rPr>
          <w:rFonts w:ascii="Arial" w:hAnsi="Arial" w:cs="Arial"/>
          <w:bCs/>
          <w:lang w:val="es-MX"/>
        </w:rPr>
        <w:t>En todos los casos se contará hasta el 30 de junio del 2024, para alcanzar el capital social mínimo. El aumento o disminución de capital social que deban realizar las entidades se tiene que registrar como capital social a partir del momento de su inscripción en el Registro Público.</w:t>
      </w:r>
    </w:p>
    <w:p w14:paraId="120951F5" w14:textId="53768780" w:rsidR="009C6139" w:rsidRPr="009C6139" w:rsidRDefault="009C6139" w:rsidP="009C6139">
      <w:pPr>
        <w:jc w:val="both"/>
        <w:rPr>
          <w:rFonts w:ascii="Arial" w:eastAsia="Calibri" w:hAnsi="Arial" w:cs="Arial"/>
          <w:b/>
          <w:color w:val="000000"/>
          <w:lang w:eastAsia="es-CR"/>
        </w:rPr>
      </w:pPr>
      <w:r w:rsidRPr="009C6139">
        <w:rPr>
          <w:rFonts w:ascii="Arial" w:eastAsia="Calibri" w:hAnsi="Arial" w:cs="Arial"/>
          <w:b/>
          <w:color w:val="000000"/>
          <w:lang w:eastAsia="es-CR"/>
        </w:rPr>
        <w:t>Artículo 2. Derogatoria</w:t>
      </w:r>
      <w:r w:rsidRPr="009C6139">
        <w:rPr>
          <w:rFonts w:ascii="Arial" w:eastAsia="Calibri" w:hAnsi="Arial" w:cs="Arial"/>
          <w:b/>
          <w:color w:val="000000"/>
          <w:lang w:eastAsia="es-CR"/>
        </w:rPr>
        <w:tab/>
      </w:r>
    </w:p>
    <w:p w14:paraId="0A99CCFE" w14:textId="77777777" w:rsidR="009C6139" w:rsidRPr="009C6139" w:rsidRDefault="009C6139" w:rsidP="009C6139">
      <w:pPr>
        <w:jc w:val="both"/>
        <w:rPr>
          <w:rFonts w:ascii="Arial" w:eastAsia="Calibri" w:hAnsi="Arial" w:cs="Arial"/>
          <w:bCs/>
          <w:color w:val="000000"/>
          <w:lang w:eastAsia="es-CR"/>
        </w:rPr>
      </w:pPr>
      <w:r w:rsidRPr="009C6139">
        <w:rPr>
          <w:rFonts w:ascii="Arial" w:eastAsia="Calibri" w:hAnsi="Arial" w:cs="Arial"/>
          <w:bCs/>
          <w:color w:val="000000"/>
          <w:lang w:eastAsia="es-CR"/>
        </w:rPr>
        <w:t>Se deroga el Acuerdo SGV-A-2-2024 “Ajuste al capital social suscrito y pagado de entidades supervisadas”.</w:t>
      </w:r>
    </w:p>
    <w:p w14:paraId="4959ED76" w14:textId="77777777" w:rsidR="009C6139" w:rsidRPr="009C6139" w:rsidRDefault="009C6139" w:rsidP="009C6139">
      <w:pPr>
        <w:rPr>
          <w:rFonts w:ascii="Arial" w:hAnsi="Arial" w:cs="Arial"/>
        </w:rPr>
      </w:pPr>
    </w:p>
    <w:p w14:paraId="4C2BAC9D" w14:textId="1C130D7D" w:rsidR="009C6139" w:rsidRPr="009C6139" w:rsidRDefault="009C6139" w:rsidP="009C6139">
      <w:pPr>
        <w:jc w:val="both"/>
        <w:rPr>
          <w:rFonts w:ascii="Arial" w:hAnsi="Arial" w:cs="Arial"/>
        </w:rPr>
      </w:pPr>
      <w:r w:rsidRPr="009C6139">
        <w:rPr>
          <w:rFonts w:ascii="Arial" w:eastAsia="Calibri" w:hAnsi="Arial" w:cs="Arial"/>
          <w:b/>
          <w:color w:val="000000"/>
          <w:lang w:eastAsia="es-CR"/>
        </w:rPr>
        <w:t>Artículo 3. Vigencia</w:t>
      </w:r>
    </w:p>
    <w:p w14:paraId="4289EF75" w14:textId="77777777" w:rsidR="009C6139" w:rsidRPr="009C6139" w:rsidRDefault="009C6139" w:rsidP="009C6139">
      <w:pPr>
        <w:jc w:val="both"/>
        <w:rPr>
          <w:rFonts w:ascii="Arial" w:eastAsia="Calibri" w:hAnsi="Arial" w:cs="Arial"/>
          <w:bCs/>
          <w:color w:val="000000"/>
          <w:lang w:eastAsia="es-CR"/>
        </w:rPr>
      </w:pPr>
      <w:r w:rsidRPr="009C6139">
        <w:rPr>
          <w:rFonts w:ascii="Arial" w:eastAsia="Calibri" w:hAnsi="Arial" w:cs="Arial"/>
          <w:bCs/>
          <w:color w:val="000000"/>
          <w:lang w:eastAsia="es-CR"/>
        </w:rPr>
        <w:t>Rige a partir del 30 de junio del 2024.</w:t>
      </w:r>
    </w:p>
    <w:p w14:paraId="40B42EF9" w14:textId="77777777" w:rsidR="009C6139" w:rsidRPr="00055535" w:rsidRDefault="009C6139" w:rsidP="009C6139">
      <w:pPr>
        <w:rPr>
          <w:szCs w:val="24"/>
        </w:rPr>
      </w:pPr>
    </w:p>
    <w:p w14:paraId="3929102A" w14:textId="77777777" w:rsidR="009C6139" w:rsidRPr="009C6139" w:rsidRDefault="009C6139" w:rsidP="009C6139"/>
    <w:sectPr w:rsidR="009C6139" w:rsidRPr="009C6139" w:rsidSect="009C6139">
      <w:headerReference w:type="default" r:id="rId7"/>
      <w:footerReference w:type="even" r:id="rId8"/>
      <w:footerReference w:type="default" r:id="rId9"/>
      <w:foot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E011" w14:textId="77777777" w:rsidR="009C6139" w:rsidRDefault="009C6139" w:rsidP="009C6139">
      <w:pPr>
        <w:spacing w:after="0" w:line="240" w:lineRule="auto"/>
      </w:pPr>
      <w:r>
        <w:separator/>
      </w:r>
    </w:p>
  </w:endnote>
  <w:endnote w:type="continuationSeparator" w:id="0">
    <w:p w14:paraId="5E56B678" w14:textId="77777777" w:rsidR="009C6139" w:rsidRDefault="009C6139" w:rsidP="009C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20DD" w14:textId="4B37664B" w:rsidR="009C6139" w:rsidRDefault="009C6139">
    <w:pPr>
      <w:pStyle w:val="Piedepgina"/>
    </w:pPr>
    <w:r>
      <w:rPr>
        <w:noProof/>
      </w:rPr>
      <mc:AlternateContent>
        <mc:Choice Requires="wps">
          <w:drawing>
            <wp:anchor distT="0" distB="0" distL="0" distR="0" simplePos="0" relativeHeight="251661312" behindDoc="0" locked="0" layoutInCell="1" allowOverlap="1" wp14:anchorId="275C18F3" wp14:editId="27C2854B">
              <wp:simplePos x="635" y="635"/>
              <wp:positionH relativeFrom="page">
                <wp:align>center</wp:align>
              </wp:positionH>
              <wp:positionV relativeFrom="page">
                <wp:align>bottom</wp:align>
              </wp:positionV>
              <wp:extent cx="443865" cy="443865"/>
              <wp:effectExtent l="0" t="0" r="0" b="0"/>
              <wp:wrapNone/>
              <wp:docPr id="2"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A642F" w14:textId="617225E1" w:rsidR="009C6139" w:rsidRPr="009C6139" w:rsidRDefault="009C6139" w:rsidP="009C6139">
                          <w:pPr>
                            <w:spacing w:after="0"/>
                            <w:rPr>
                              <w:rFonts w:ascii="Calibri" w:eastAsia="Calibri" w:hAnsi="Calibri" w:cs="Calibri"/>
                              <w:noProof/>
                              <w:color w:val="000000"/>
                              <w:sz w:val="20"/>
                              <w:szCs w:val="20"/>
                            </w:rPr>
                          </w:pPr>
                          <w:r w:rsidRPr="009C6139">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C18F3" id="_x0000_t202" coordsize="21600,21600" o:spt="202" path="m,l,21600r21600,l21600,xe">
              <v:stroke joinstyle="miter"/>
              <v:path gradientshapeok="t" o:connecttype="rect"/>
            </v:shapetype>
            <v:shape id="Cuadro de texto 2" o:spid="_x0000_s1026" type="#_x0000_t202" alt="Uso Intern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ACA642F" w14:textId="617225E1" w:rsidR="009C6139" w:rsidRPr="009C6139" w:rsidRDefault="009C6139" w:rsidP="009C6139">
                    <w:pPr>
                      <w:spacing w:after="0"/>
                      <w:rPr>
                        <w:rFonts w:ascii="Calibri" w:eastAsia="Calibri" w:hAnsi="Calibri" w:cs="Calibri"/>
                        <w:noProof/>
                        <w:color w:val="000000"/>
                        <w:sz w:val="20"/>
                        <w:szCs w:val="20"/>
                      </w:rPr>
                    </w:pPr>
                    <w:r w:rsidRPr="009C6139">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D2BE" w14:textId="13F25381" w:rsidR="009C6139" w:rsidRPr="009C6139" w:rsidRDefault="009C6139" w:rsidP="009C6139">
    <w:pPr>
      <w:pStyle w:val="Piedepgina"/>
      <w:pBdr>
        <w:top w:val="single" w:sz="4" w:space="1" w:color="D9D9D9"/>
      </w:pBdr>
      <w:rPr>
        <w:rFonts w:ascii="Arial" w:hAnsi="Arial" w:cs="Arial"/>
        <w:b/>
        <w:bCs/>
        <w:color w:val="1B75BB"/>
      </w:rPr>
    </w:pPr>
    <w:r>
      <w:rPr>
        <w:rFonts w:ascii="Arial" w:hAnsi="Arial" w:cs="Arial"/>
        <w:b/>
        <w:bCs/>
        <w:noProof/>
        <w:color w:val="1B75BB"/>
      </w:rPr>
      <mc:AlternateContent>
        <mc:Choice Requires="wps">
          <w:drawing>
            <wp:anchor distT="0" distB="0" distL="0" distR="0" simplePos="0" relativeHeight="251662336" behindDoc="0" locked="0" layoutInCell="1" allowOverlap="1" wp14:anchorId="527A41EC" wp14:editId="25CE300F">
              <wp:simplePos x="1082040" y="9433560"/>
              <wp:positionH relativeFrom="page">
                <wp:align>center</wp:align>
              </wp:positionH>
              <wp:positionV relativeFrom="page">
                <wp:align>bottom</wp:align>
              </wp:positionV>
              <wp:extent cx="443865" cy="443865"/>
              <wp:effectExtent l="0" t="0" r="0" b="0"/>
              <wp:wrapNone/>
              <wp:docPr id="3"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ED296" w14:textId="41232552" w:rsidR="009C6139" w:rsidRPr="009C6139" w:rsidRDefault="009C6139" w:rsidP="009C6139">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A41EC" id="_x0000_t202" coordsize="21600,21600" o:spt="202" path="m,l,21600r21600,l21600,xe">
              <v:stroke joinstyle="miter"/>
              <v:path gradientshapeok="t" o:connecttype="rect"/>
            </v:shapetype>
            <v:shape id="Cuadro de texto 3" o:spid="_x0000_s1027" type="#_x0000_t202" alt="Uso Intern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22ED296" w14:textId="41232552" w:rsidR="009C6139" w:rsidRPr="009C6139" w:rsidRDefault="009C6139" w:rsidP="009C6139">
                    <w:pPr>
                      <w:spacing w:after="0"/>
                      <w:rPr>
                        <w:rFonts w:ascii="Calibri" w:eastAsia="Calibri" w:hAnsi="Calibri" w:cs="Calibri"/>
                        <w:noProof/>
                        <w:color w:val="000000"/>
                        <w:sz w:val="20"/>
                        <w:szCs w:val="20"/>
                      </w:rPr>
                    </w:pPr>
                  </w:p>
                </w:txbxContent>
              </v:textbox>
              <w10:wrap anchorx="page" anchory="page"/>
            </v:shape>
          </w:pict>
        </mc:Fallback>
      </mc:AlternateContent>
    </w:r>
    <w:r w:rsidRPr="003959B0">
      <w:rPr>
        <w:rFonts w:ascii="Arial" w:hAnsi="Arial" w:cs="Arial"/>
        <w:b/>
        <w:bCs/>
        <w:color w:val="1B75BB"/>
      </w:rPr>
      <w:fldChar w:fldCharType="begin"/>
    </w:r>
    <w:r w:rsidRPr="003959B0">
      <w:rPr>
        <w:rFonts w:ascii="Arial" w:hAnsi="Arial" w:cs="Arial"/>
        <w:b/>
        <w:bCs/>
        <w:color w:val="1B75BB"/>
      </w:rPr>
      <w:instrText xml:space="preserve"> PAGE   \* MERGEFORMAT </w:instrText>
    </w:r>
    <w:r w:rsidRPr="003959B0">
      <w:rPr>
        <w:rFonts w:ascii="Arial" w:hAnsi="Arial" w:cs="Arial"/>
        <w:b/>
        <w:bCs/>
        <w:color w:val="1B75BB"/>
      </w:rPr>
      <w:fldChar w:fldCharType="separate"/>
    </w:r>
    <w:r>
      <w:rPr>
        <w:rFonts w:ascii="Arial" w:hAnsi="Arial" w:cs="Arial"/>
        <w:b/>
        <w:bCs/>
        <w:color w:val="1B75BB"/>
      </w:rPr>
      <w:t>2</w:t>
    </w:r>
    <w:r w:rsidRPr="003959B0">
      <w:rPr>
        <w:rFonts w:ascii="Arial" w:hAnsi="Arial" w:cs="Arial"/>
        <w:b/>
        <w:bCs/>
        <w:noProof/>
        <w:color w:val="1B75BB"/>
      </w:rPr>
      <w:fldChar w:fldCharType="end"/>
    </w:r>
    <w:r w:rsidRPr="003959B0">
      <w:rPr>
        <w:rFonts w:ascii="Arial" w:hAnsi="Arial" w:cs="Arial"/>
        <w:b/>
        <w:bCs/>
        <w:color w:val="1B75BB"/>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D4A5" w14:textId="71ADE2BF" w:rsidR="009C6139" w:rsidRDefault="009C6139">
    <w:pPr>
      <w:pStyle w:val="Piedepgina"/>
    </w:pPr>
    <w:r>
      <w:rPr>
        <w:noProof/>
      </w:rPr>
      <mc:AlternateContent>
        <mc:Choice Requires="wps">
          <w:drawing>
            <wp:anchor distT="0" distB="0" distL="0" distR="0" simplePos="0" relativeHeight="251660288" behindDoc="0" locked="0" layoutInCell="1" allowOverlap="1" wp14:anchorId="36E0B4F2" wp14:editId="1AE8FBE2">
              <wp:simplePos x="1080770" y="9438640"/>
              <wp:positionH relativeFrom="page">
                <wp:align>center</wp:align>
              </wp:positionH>
              <wp:positionV relativeFrom="page">
                <wp:align>bottom</wp:align>
              </wp:positionV>
              <wp:extent cx="443865" cy="443865"/>
              <wp:effectExtent l="0" t="0" r="0" b="0"/>
              <wp:wrapNone/>
              <wp:docPr id="1"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CED0DF" w14:textId="672FBB4C" w:rsidR="009C6139" w:rsidRPr="009C6139" w:rsidRDefault="009C6139" w:rsidP="009C6139">
                          <w:pPr>
                            <w:spacing w:after="0"/>
                            <w:rPr>
                              <w:rFonts w:ascii="Calibri" w:eastAsia="Calibri" w:hAnsi="Calibri" w:cs="Calibri"/>
                              <w:noProof/>
                              <w:color w:val="000000"/>
                              <w:sz w:val="20"/>
                              <w:szCs w:val="20"/>
                            </w:rPr>
                          </w:pPr>
                          <w:r w:rsidRPr="009C6139">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E0B4F2" id="_x0000_t202" coordsize="21600,21600" o:spt="202" path="m,l,21600r21600,l21600,xe">
              <v:stroke joinstyle="miter"/>
              <v:path gradientshapeok="t" o:connecttype="rect"/>
            </v:shapetype>
            <v:shape id="Cuadro de texto 1" o:spid="_x0000_s1028" type="#_x0000_t202" alt="Uso Interno"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6CED0DF" w14:textId="672FBB4C" w:rsidR="009C6139" w:rsidRPr="009C6139" w:rsidRDefault="009C6139" w:rsidP="009C6139">
                    <w:pPr>
                      <w:spacing w:after="0"/>
                      <w:rPr>
                        <w:rFonts w:ascii="Calibri" w:eastAsia="Calibri" w:hAnsi="Calibri" w:cs="Calibri"/>
                        <w:noProof/>
                        <w:color w:val="000000"/>
                        <w:sz w:val="20"/>
                        <w:szCs w:val="20"/>
                      </w:rPr>
                    </w:pPr>
                    <w:r w:rsidRPr="009C6139">
                      <w:rPr>
                        <w:rFonts w:ascii="Calibri" w:eastAsia="Calibri" w:hAnsi="Calibri" w:cs="Calibri"/>
                        <w:noProof/>
                        <w:color w:val="000000"/>
                        <w:sz w:val="20"/>
                        <w:szCs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0284" w14:textId="77777777" w:rsidR="009C6139" w:rsidRDefault="009C6139" w:rsidP="009C6139">
      <w:pPr>
        <w:spacing w:after="0" w:line="240" w:lineRule="auto"/>
      </w:pPr>
      <w:r>
        <w:separator/>
      </w:r>
    </w:p>
  </w:footnote>
  <w:footnote w:type="continuationSeparator" w:id="0">
    <w:p w14:paraId="6954A1E2" w14:textId="77777777" w:rsidR="009C6139" w:rsidRDefault="009C6139" w:rsidP="009C6139">
      <w:pPr>
        <w:spacing w:after="0" w:line="240" w:lineRule="auto"/>
      </w:pPr>
      <w:r>
        <w:continuationSeparator/>
      </w:r>
    </w:p>
  </w:footnote>
  <w:footnote w:id="1">
    <w:p w14:paraId="6CD1536C" w14:textId="297BE62A" w:rsidR="009C6139" w:rsidRDefault="009C6139" w:rsidP="009C6139">
      <w:pPr>
        <w:pStyle w:val="Textonotapie"/>
        <w:jc w:val="both"/>
        <w:rPr>
          <w:lang w:val="es-CR"/>
        </w:rPr>
      </w:pPr>
      <w:r w:rsidRPr="009C6139">
        <w:rPr>
          <w:rStyle w:val="Refdenotaalpie"/>
          <w:rFonts w:ascii="Arial" w:hAnsi="Arial" w:cs="Arial"/>
        </w:rPr>
        <w:footnoteRef/>
      </w:r>
      <w:r w:rsidRPr="009C6139">
        <w:rPr>
          <w:rFonts w:ascii="Arial" w:hAnsi="Arial" w:cs="Arial"/>
        </w:rPr>
        <w:t xml:space="preserve"> Superintendencia General de Valores. Despacho del Superintendente. A las catorce horas del veintitrés de mayo del dos mil veinticuatro.</w:t>
      </w:r>
      <w:r w:rsidR="001461F3">
        <w:rPr>
          <w:rFonts w:ascii="Arial" w:hAnsi="Arial" w:cs="Arial"/>
        </w:rPr>
        <w:t xml:space="preserve"> Publicado en el Diario Oficial La Gaceta No.104 del 10 de junio del 2024. Rige a partir del 30 de junio del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C77E" w14:textId="77777777" w:rsidR="002071C9" w:rsidRDefault="002071C9" w:rsidP="002071C9">
    <w:pPr>
      <w:pStyle w:val="Encabezado"/>
    </w:pPr>
    <w:r>
      <w:rPr>
        <w:noProof/>
      </w:rPr>
      <w:drawing>
        <wp:anchor distT="0" distB="0" distL="114300" distR="114300" simplePos="0" relativeHeight="251664384" behindDoc="1" locked="0" layoutInCell="1" allowOverlap="1" wp14:anchorId="5D1DF035" wp14:editId="0DACCB4E">
          <wp:simplePos x="0" y="0"/>
          <wp:positionH relativeFrom="column">
            <wp:posOffset>-1099185</wp:posOffset>
          </wp:positionH>
          <wp:positionV relativeFrom="paragraph">
            <wp:posOffset>-570230</wp:posOffset>
          </wp:positionV>
          <wp:extent cx="7810500" cy="1055352"/>
          <wp:effectExtent l="0" t="0" r="0" b="0"/>
          <wp:wrapNone/>
          <wp:docPr id="5" name="Imagen 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rotWithShape="1">
                  <a:blip r:embed="rId1">
                    <a:extLst>
                      <a:ext uri="{28A0092B-C50C-407E-A947-70E740481C1C}">
                        <a14:useLocalDpi xmlns:a14="http://schemas.microsoft.com/office/drawing/2010/main" val="0"/>
                      </a:ext>
                    </a:extLst>
                  </a:blip>
                  <a:srcRect b="90448"/>
                  <a:stretch/>
                </pic:blipFill>
                <pic:spPr bwMode="auto">
                  <a:xfrm>
                    <a:off x="0" y="0"/>
                    <a:ext cx="7861966" cy="10623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BB0AFB" w14:textId="460DCA75" w:rsidR="009C6139" w:rsidRDefault="009C6139" w:rsidP="009C6139">
    <w:pPr>
      <w:pStyle w:val="Encabezado"/>
      <w:jc w:val="right"/>
    </w:pPr>
  </w:p>
  <w:p w14:paraId="3A6948AB" w14:textId="2155D1BC" w:rsidR="009C6139" w:rsidRDefault="009C61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37DF231C"/>
    <w:multiLevelType w:val="hybridMultilevel"/>
    <w:tmpl w:val="486CB57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34727675">
    <w:abstractNumId w:val="0"/>
  </w:num>
  <w:num w:numId="2" w16cid:durableId="1627546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5180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39"/>
    <w:rsid w:val="001461F3"/>
    <w:rsid w:val="001A01A5"/>
    <w:rsid w:val="002071C9"/>
    <w:rsid w:val="00317E18"/>
    <w:rsid w:val="009C613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6BA086"/>
  <w15:chartTrackingRefBased/>
  <w15:docId w15:val="{DE32140B-A444-4761-83B8-156F67AB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C613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9C6139"/>
    <w:rPr>
      <w:rFonts w:ascii="Times New Roman" w:eastAsia="Times New Roman" w:hAnsi="Times New Roman" w:cs="Times New Roman"/>
      <w:sz w:val="20"/>
      <w:szCs w:val="20"/>
      <w:lang w:val="es-ES" w:eastAsia="es-ES"/>
    </w:rPr>
  </w:style>
  <w:style w:type="character" w:customStyle="1" w:styleId="TextodereglamentoChar">
    <w:name w:val="Texto de reglamento Char"/>
    <w:link w:val="Textodereglamento"/>
    <w:locked/>
    <w:rsid w:val="009C6139"/>
    <w:rPr>
      <w:rFonts w:ascii="Times New Roman" w:eastAsia="Times New Roman" w:hAnsi="Times New Roman" w:cs="Times New Roman"/>
      <w:szCs w:val="24"/>
      <w:lang w:val="es-ES" w:eastAsia="es-ES"/>
    </w:rPr>
  </w:style>
  <w:style w:type="paragraph" w:customStyle="1" w:styleId="Textodereglamento">
    <w:name w:val="Texto de reglamento"/>
    <w:basedOn w:val="Normal"/>
    <w:link w:val="TextodereglamentoChar"/>
    <w:qFormat/>
    <w:rsid w:val="009C6139"/>
    <w:pPr>
      <w:spacing w:before="120" w:after="0" w:line="240" w:lineRule="auto"/>
      <w:jc w:val="both"/>
    </w:pPr>
    <w:rPr>
      <w:rFonts w:ascii="Times New Roman" w:eastAsia="Times New Roman" w:hAnsi="Times New Roman" w:cs="Times New Roman"/>
      <w:szCs w:val="24"/>
      <w:lang w:val="es-ES" w:eastAsia="es-ES"/>
    </w:rPr>
  </w:style>
  <w:style w:type="character" w:styleId="Refdenotaalpie">
    <w:name w:val="footnote reference"/>
    <w:basedOn w:val="Fuentedeprrafopredeter"/>
    <w:uiPriority w:val="99"/>
    <w:semiHidden/>
    <w:unhideWhenUsed/>
    <w:rsid w:val="009C6139"/>
    <w:rPr>
      <w:vertAlign w:val="superscript"/>
    </w:rPr>
  </w:style>
  <w:style w:type="paragraph" w:styleId="Prrafodelista">
    <w:name w:val="List Paragraph"/>
    <w:aliases w:val="Titulo 2,Párrafo de Informe de Auditoría,Informe,Con viñetas,Normal con viñetas,3,Use Case List Paragraph,Bullet 1,List Paragraph 1,Numbered List Paragraph,Main numbered paragraph,Bullets,List Paragraph (numbered (a)),Akapit z listą BS"/>
    <w:basedOn w:val="Normal"/>
    <w:link w:val="PrrafodelistaCar"/>
    <w:uiPriority w:val="34"/>
    <w:qFormat/>
    <w:rsid w:val="009C6139"/>
    <w:pPr>
      <w:spacing w:after="200" w:line="276" w:lineRule="auto"/>
      <w:ind w:left="720"/>
      <w:contextualSpacing/>
    </w:pPr>
    <w:rPr>
      <w:lang w:val="en-US"/>
    </w:rPr>
  </w:style>
  <w:style w:type="character" w:customStyle="1" w:styleId="PrrafodelistaCar">
    <w:name w:val="Párrafo de lista Car"/>
    <w:aliases w:val="Titulo 2 Car,Párrafo de Informe de Auditoría Car,Informe Car,Con viñetas Car,Normal con viñetas Car,3 Car,Use Case List Paragraph Car,Bullet 1 Car,List Paragraph 1 Car,Numbered List Paragraph Car,Main numbered paragraph Car"/>
    <w:link w:val="Prrafodelista"/>
    <w:uiPriority w:val="34"/>
    <w:qFormat/>
    <w:locked/>
    <w:rsid w:val="009C6139"/>
    <w:rPr>
      <w:lang w:val="en-US"/>
    </w:rPr>
  </w:style>
  <w:style w:type="paragraph" w:customStyle="1" w:styleId="Numeracin">
    <w:name w:val="Numeración"/>
    <w:basedOn w:val="Normal"/>
    <w:qFormat/>
    <w:rsid w:val="009C6139"/>
    <w:pPr>
      <w:numPr>
        <w:numId w:val="1"/>
      </w:numPr>
      <w:spacing w:before="120" w:after="0" w:line="240" w:lineRule="auto"/>
      <w:jc w:val="both"/>
    </w:pPr>
    <w:rPr>
      <w:rFonts w:ascii="Times New Roman" w:eastAsia="Times New Roman" w:hAnsi="Times New Roman" w:cs="Times New Roman"/>
      <w:szCs w:val="24"/>
      <w:lang w:val="es-ES" w:eastAsia="es-ES"/>
    </w:rPr>
  </w:style>
  <w:style w:type="paragraph" w:styleId="Encabezado">
    <w:name w:val="header"/>
    <w:basedOn w:val="Normal"/>
    <w:link w:val="EncabezadoCar"/>
    <w:unhideWhenUsed/>
    <w:rsid w:val="009C6139"/>
    <w:pPr>
      <w:tabs>
        <w:tab w:val="center" w:pos="4419"/>
        <w:tab w:val="right" w:pos="8838"/>
      </w:tabs>
      <w:spacing w:after="0" w:line="240" w:lineRule="auto"/>
    </w:pPr>
  </w:style>
  <w:style w:type="character" w:customStyle="1" w:styleId="EncabezadoCar">
    <w:name w:val="Encabezado Car"/>
    <w:basedOn w:val="Fuentedeprrafopredeter"/>
    <w:link w:val="Encabezado"/>
    <w:rsid w:val="009C6139"/>
  </w:style>
  <w:style w:type="paragraph" w:styleId="Piedepgina">
    <w:name w:val="footer"/>
    <w:basedOn w:val="Normal"/>
    <w:link w:val="PiedepginaCar"/>
    <w:uiPriority w:val="99"/>
    <w:unhideWhenUsed/>
    <w:rsid w:val="009C6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7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BCBE1549-C8CD-4293-875B-3FD751C81ACC}"/>
</file>

<file path=customXml/itemProps2.xml><?xml version="1.0" encoding="utf-8"?>
<ds:datastoreItem xmlns:ds="http://schemas.openxmlformats.org/officeDocument/2006/customXml" ds:itemID="{15F11F2C-4590-4728-BDFC-E9BDF402AED1}"/>
</file>

<file path=customXml/itemProps3.xml><?xml version="1.0" encoding="utf-8"?>
<ds:datastoreItem xmlns:ds="http://schemas.openxmlformats.org/officeDocument/2006/customXml" ds:itemID="{9F652A82-D85B-46DD-B8BC-B0D2998290F2}"/>
</file>

<file path=docProps/app.xml><?xml version="1.0" encoding="utf-8"?>
<Properties xmlns="http://schemas.openxmlformats.org/officeDocument/2006/extended-properties" xmlns:vt="http://schemas.openxmlformats.org/officeDocument/2006/docPropsVTypes">
  <Template>Normal</Template>
  <TotalTime>8</TotalTime>
  <Pages>4</Pages>
  <Words>1757</Words>
  <Characters>9664</Characters>
  <Application>Microsoft Office Word</Application>
  <DocSecurity>0</DocSecurity>
  <Lines>80</Lines>
  <Paragraphs>22</Paragraphs>
  <ScaleCrop>false</ScaleCrop>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BURGOS CAMACHO MARIA JOSE</dc:creator>
  <cp:keywords/>
  <dc:description/>
  <cp:lastModifiedBy>BURGOS CAMACHO MARIA JOSE</cp:lastModifiedBy>
  <cp:revision>4</cp:revision>
  <dcterms:created xsi:type="dcterms:W3CDTF">2024-05-27T22:17:00Z</dcterms:created>
  <dcterms:modified xsi:type="dcterms:W3CDTF">2024-06-17T22:26:00Z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Uso Interno</vt:lpwstr>
  </property>
  <property fmtid="{D5CDD505-2E9C-101B-9397-08002B2CF9AE}" pid="5" name="MSIP_Label_b8b4be34-365a-4a68-b9fb-75c1b6874315_Enabled">
    <vt:lpwstr>true</vt:lpwstr>
  </property>
  <property fmtid="{D5CDD505-2E9C-101B-9397-08002B2CF9AE}" pid="6" name="MSIP_Label_b8b4be34-365a-4a68-b9fb-75c1b6874315_SetDate">
    <vt:lpwstr>2024-05-27T22:22:44Z</vt:lpwstr>
  </property>
  <property fmtid="{D5CDD505-2E9C-101B-9397-08002B2CF9AE}" pid="7" name="MSIP_Label_b8b4be34-365a-4a68-b9fb-75c1b6874315_Method">
    <vt:lpwstr>Standard</vt:lpwstr>
  </property>
  <property fmtid="{D5CDD505-2E9C-101B-9397-08002B2CF9AE}" pid="8" name="MSIP_Label_b8b4be34-365a-4a68-b9fb-75c1b6874315_Name">
    <vt:lpwstr>b8b4be34-365a-4a68-b9fb-75c1b6874315</vt:lpwstr>
  </property>
  <property fmtid="{D5CDD505-2E9C-101B-9397-08002B2CF9AE}" pid="9" name="MSIP_Label_b8b4be34-365a-4a68-b9fb-75c1b6874315_SiteId">
    <vt:lpwstr>618d0a45-25a6-4618-9f80-8f70a435ee52</vt:lpwstr>
  </property>
  <property fmtid="{D5CDD505-2E9C-101B-9397-08002B2CF9AE}" pid="10" name="MSIP_Label_b8b4be34-365a-4a68-b9fb-75c1b6874315_ActionId">
    <vt:lpwstr>d075350b-3ed0-4104-b9fa-24a74e978ab2</vt:lpwstr>
  </property>
  <property fmtid="{D5CDD505-2E9C-101B-9397-08002B2CF9AE}" pid="11" name="MSIP_Label_b8b4be34-365a-4a68-b9fb-75c1b6874315_ContentBits">
    <vt:lpwstr>2</vt:lpwstr>
  </property>
  <property fmtid="{D5CDD505-2E9C-101B-9397-08002B2CF9AE}" pid="12" name="ContentTypeId">
    <vt:lpwstr>0x010100C66477CF232ACD46B93353E93693837C</vt:lpwstr>
  </property>
</Properties>
</file>