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7497" w14:textId="77777777" w:rsidR="00830429" w:rsidRDefault="00830429" w:rsidP="00C33A41">
      <w:pPr>
        <w:jc w:val="center"/>
        <w:rPr>
          <w:rFonts w:ascii="Arial" w:hAnsi="Arial" w:cs="Arial"/>
          <w:b/>
        </w:rPr>
      </w:pPr>
    </w:p>
    <w:p w14:paraId="6130CDB3" w14:textId="5B919C52" w:rsidR="00830429" w:rsidRDefault="00830429" w:rsidP="008D18AF">
      <w:pPr>
        <w:ind w:right="-193"/>
        <w:jc w:val="center"/>
        <w:rPr>
          <w:rFonts w:ascii="Roboto" w:hAnsi="Roboto" w:cs="Arial"/>
          <w:b/>
        </w:rPr>
      </w:pPr>
      <w:r w:rsidRPr="00830429">
        <w:rPr>
          <w:rFonts w:ascii="Roboto" w:hAnsi="Roboto" w:cs="Arial"/>
          <w:b/>
        </w:rPr>
        <w:t>SGV-A-5-202</w:t>
      </w:r>
      <w:r w:rsidR="000456BC">
        <w:rPr>
          <w:rFonts w:ascii="Roboto" w:hAnsi="Roboto" w:cs="Arial"/>
          <w:b/>
        </w:rPr>
        <w:t>5</w:t>
      </w:r>
      <w:r w:rsidRPr="00830429">
        <w:rPr>
          <w:rFonts w:ascii="Roboto" w:hAnsi="Roboto" w:cs="Arial"/>
          <w:b/>
        </w:rPr>
        <w:t>.</w:t>
      </w:r>
      <w:r w:rsidR="000456BC" w:rsidRPr="000456BC">
        <w:rPr>
          <w:rFonts w:ascii="Roboto" w:hAnsi="Roboto" w:cs="Arial"/>
          <w:b/>
        </w:rPr>
        <w:t xml:space="preserve"> </w:t>
      </w:r>
      <w:r w:rsidR="000456BC">
        <w:rPr>
          <w:rFonts w:ascii="Roboto" w:hAnsi="Roboto" w:cs="Arial"/>
          <w:b/>
        </w:rPr>
        <w:t>USO DE SELLO ELECTRÓNICO</w:t>
      </w:r>
      <w:r w:rsidRPr="00131B92">
        <w:rPr>
          <w:rFonts w:ascii="Roboto" w:hAnsi="Roboto" w:cs="Arial"/>
          <w:b/>
        </w:rPr>
        <w:t xml:space="preserve">. </w:t>
      </w:r>
      <w:r>
        <w:rPr>
          <w:rStyle w:val="Refdenotaalpie"/>
          <w:rFonts w:ascii="Roboto" w:hAnsi="Roboto" w:cs="Arial"/>
          <w:b/>
        </w:rPr>
        <w:footnoteReference w:id="1"/>
      </w:r>
    </w:p>
    <w:p w14:paraId="2BEC031D" w14:textId="77777777" w:rsidR="000456BC" w:rsidRPr="003117AF" w:rsidRDefault="000456BC" w:rsidP="006F43EB">
      <w:pPr>
        <w:spacing w:line="276" w:lineRule="auto"/>
        <w:ind w:right="-193"/>
        <w:jc w:val="both"/>
        <w:rPr>
          <w:rFonts w:ascii="Roboto" w:hAnsi="Roboto" w:cs="Arial"/>
          <w:b/>
          <w:bCs/>
        </w:rPr>
      </w:pPr>
      <w:r w:rsidRPr="003117AF">
        <w:rPr>
          <w:rFonts w:ascii="Roboto" w:hAnsi="Roboto" w:cs="Arial"/>
          <w:b/>
          <w:bCs/>
        </w:rPr>
        <w:t>Considerando que:</w:t>
      </w:r>
    </w:p>
    <w:p w14:paraId="18404388" w14:textId="77777777" w:rsidR="000456BC" w:rsidRPr="003117AF" w:rsidRDefault="000456BC" w:rsidP="006F43EB">
      <w:pPr>
        <w:spacing w:line="276" w:lineRule="auto"/>
        <w:ind w:right="-193"/>
        <w:jc w:val="both"/>
        <w:rPr>
          <w:rFonts w:ascii="Roboto" w:hAnsi="Roboto" w:cs="Arial"/>
          <w:b/>
          <w:bCs/>
        </w:rPr>
      </w:pPr>
    </w:p>
    <w:p w14:paraId="746B83A2"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eastAsia="Calibri" w:hAnsi="Roboto" w:cs="Arial"/>
          <w:bCs/>
          <w:szCs w:val="24"/>
          <w:lang w:eastAsia="es-CR"/>
        </w:rPr>
      </w:pPr>
      <w:r w:rsidRPr="00246CF7">
        <w:rPr>
          <w:rFonts w:ascii="Roboto" w:eastAsia="Calibri" w:hAnsi="Roboto" w:cs="Arial"/>
          <w:bCs/>
          <w:szCs w:val="24"/>
        </w:rPr>
        <w:t>Que de conformidad con el artículo 8 inciso a) de la Ley Reguladora del Mercado de Valores, Ley N°7732, corresponde al Superintendente:</w:t>
      </w:r>
    </w:p>
    <w:p w14:paraId="5BA5C5C7" w14:textId="77777777" w:rsidR="000456BC" w:rsidRPr="00246CF7" w:rsidRDefault="000456BC" w:rsidP="006F43EB">
      <w:pPr>
        <w:pStyle w:val="Prrafodelista"/>
        <w:spacing w:line="240" w:lineRule="auto"/>
        <w:ind w:right="616"/>
        <w:jc w:val="both"/>
        <w:rPr>
          <w:rFonts w:ascii="Roboto" w:eastAsia="Calibri" w:hAnsi="Roboto" w:cs="Arial"/>
          <w:bCs/>
          <w:i/>
          <w:iCs/>
          <w:sz w:val="24"/>
          <w:szCs w:val="24"/>
          <w:lang w:val="es-CR"/>
        </w:rPr>
      </w:pPr>
    </w:p>
    <w:p w14:paraId="01A13ABD" w14:textId="77777777" w:rsidR="000456BC" w:rsidRPr="00246CF7" w:rsidRDefault="000456BC" w:rsidP="006F43EB">
      <w:pPr>
        <w:pStyle w:val="Prrafodelista"/>
        <w:spacing w:line="240" w:lineRule="auto"/>
        <w:ind w:right="616"/>
        <w:jc w:val="both"/>
        <w:rPr>
          <w:rFonts w:ascii="Roboto" w:eastAsia="Calibri" w:hAnsi="Roboto" w:cs="Arial"/>
          <w:bCs/>
          <w:i/>
          <w:iCs/>
          <w:sz w:val="24"/>
          <w:szCs w:val="24"/>
          <w:lang w:val="es-CR"/>
        </w:rPr>
      </w:pPr>
      <w:r w:rsidRPr="00246CF7">
        <w:rPr>
          <w:rFonts w:ascii="Roboto" w:eastAsia="Calibri" w:hAnsi="Roboto" w:cs="Arial"/>
          <w:bCs/>
          <w:i/>
          <w:iCs/>
          <w:sz w:val="24"/>
          <w:szCs w:val="24"/>
          <w:lang w:val="es-CR"/>
        </w:rPr>
        <w:t>“Ejercer, en nombre y por cuenta del Banco Central de Costa Rica, la representación judicial y extrajudicial de dicho Banco para las funciones propias de su cargo, con atribuciones de apoderado generalísimo sin límite de suma. Podrá delegar poderes en los intendentes u otros funcionarios de la Superintendencia, conforme a las normas dictadas por el Consejo Nacional.”</w:t>
      </w:r>
    </w:p>
    <w:p w14:paraId="2157172A" w14:textId="77777777" w:rsidR="000456BC" w:rsidRPr="00246CF7" w:rsidRDefault="000456BC" w:rsidP="006F43EB">
      <w:pPr>
        <w:pStyle w:val="Prrafodelista"/>
        <w:tabs>
          <w:tab w:val="left" w:pos="567"/>
        </w:tabs>
        <w:ind w:left="284" w:right="-193"/>
        <w:jc w:val="both"/>
        <w:rPr>
          <w:rFonts w:ascii="Roboto" w:eastAsia="Calibri" w:hAnsi="Roboto" w:cs="Arial"/>
          <w:bCs/>
          <w:sz w:val="24"/>
          <w:szCs w:val="24"/>
          <w:lang w:val="es-CR"/>
        </w:rPr>
      </w:pPr>
    </w:p>
    <w:p w14:paraId="25206A12"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eastAsia="Calibri" w:hAnsi="Roboto" w:cs="Arial"/>
          <w:bCs/>
          <w:szCs w:val="24"/>
          <w:lang w:eastAsia="es-CR"/>
        </w:rPr>
      </w:pPr>
      <w:r w:rsidRPr="00246CF7">
        <w:rPr>
          <w:rFonts w:ascii="Roboto" w:eastAsia="Calibri" w:hAnsi="Roboto" w:cs="Arial"/>
          <w:bCs/>
          <w:szCs w:val="24"/>
          <w:lang w:eastAsia="es-CR"/>
        </w:rPr>
        <w:t>El artículo 180 de la Ley Reguladora del Mercado de Valores, dispone que la Superintendencia General de Valores podrá utilizar medios electrónicos o magnéticos de transmisión y almacenamiento de datos, para solicitar información a las entidades fiscalizadas y para mantener sus archivos, actas y demás documentos. La información así mantenida tendrá valor probatorio equivalente al de los documentos para todos los efectos legales.</w:t>
      </w:r>
    </w:p>
    <w:p w14:paraId="67920246" w14:textId="77777777" w:rsidR="000456BC" w:rsidRPr="00246CF7" w:rsidRDefault="000456BC" w:rsidP="006F43EB">
      <w:pPr>
        <w:pStyle w:val="Prrafodelista"/>
        <w:tabs>
          <w:tab w:val="left" w:pos="567"/>
        </w:tabs>
        <w:ind w:left="284" w:right="-193"/>
        <w:jc w:val="both"/>
        <w:rPr>
          <w:rFonts w:ascii="Roboto" w:eastAsia="Calibri" w:hAnsi="Roboto" w:cs="Arial"/>
          <w:bCs/>
          <w:sz w:val="24"/>
          <w:szCs w:val="24"/>
          <w:lang w:val="es-CR" w:eastAsia="es-CR"/>
        </w:rPr>
      </w:pPr>
    </w:p>
    <w:p w14:paraId="676E35CB"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 xml:space="preserve">Que, por la Ley de Certificados, Firmas Digitales y Documentos Electrónicos, </w:t>
      </w:r>
      <w:proofErr w:type="spellStart"/>
      <w:r w:rsidRPr="00246CF7">
        <w:rPr>
          <w:rFonts w:ascii="Roboto" w:hAnsi="Roboto" w:cstheme="majorHAnsi"/>
          <w:szCs w:val="24"/>
        </w:rPr>
        <w:t>N°</w:t>
      </w:r>
      <w:proofErr w:type="spellEnd"/>
      <w:r w:rsidRPr="00246CF7">
        <w:rPr>
          <w:rFonts w:ascii="Roboto" w:hAnsi="Roboto" w:cstheme="majorHAnsi"/>
          <w:szCs w:val="24"/>
        </w:rPr>
        <w:t xml:space="preserve"> 8454, artículo 9, se dispone que “</w:t>
      </w:r>
      <w:r w:rsidRPr="00246CF7">
        <w:rPr>
          <w:rFonts w:ascii="Roboto" w:hAnsi="Roboto" w:cstheme="majorHAnsi"/>
          <w:i/>
          <w:iCs/>
          <w:szCs w:val="24"/>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r w:rsidRPr="00246CF7">
        <w:rPr>
          <w:rFonts w:ascii="Roboto" w:hAnsi="Roboto" w:cstheme="majorHAnsi"/>
          <w:szCs w:val="24"/>
        </w:rPr>
        <w:t>…”.</w:t>
      </w:r>
    </w:p>
    <w:p w14:paraId="0A12A6BC" w14:textId="77777777" w:rsidR="000456BC" w:rsidRPr="00246CF7" w:rsidRDefault="000456BC" w:rsidP="006F43EB">
      <w:pPr>
        <w:tabs>
          <w:tab w:val="left" w:pos="567"/>
        </w:tabs>
        <w:ind w:left="567" w:right="-193"/>
        <w:jc w:val="both"/>
        <w:rPr>
          <w:rFonts w:ascii="Roboto" w:eastAsia="Calibri" w:hAnsi="Roboto" w:cs="Arial"/>
          <w:bCs/>
          <w:szCs w:val="24"/>
        </w:rPr>
      </w:pPr>
    </w:p>
    <w:p w14:paraId="089322B0" w14:textId="437D9A93" w:rsidR="000456BC" w:rsidRPr="00246CF7" w:rsidRDefault="000456BC" w:rsidP="000456BC">
      <w:pPr>
        <w:numPr>
          <w:ilvl w:val="0"/>
          <w:numId w:val="2"/>
        </w:numPr>
        <w:tabs>
          <w:tab w:val="left" w:pos="567"/>
        </w:tabs>
        <w:spacing w:after="0" w:line="240" w:lineRule="auto"/>
        <w:ind w:left="567" w:right="-193" w:hanging="567"/>
        <w:jc w:val="both"/>
        <w:rPr>
          <w:rFonts w:ascii="Roboto" w:eastAsia="Calibri" w:hAnsi="Roboto" w:cs="Arial"/>
          <w:bCs/>
          <w:szCs w:val="24"/>
        </w:rPr>
      </w:pPr>
      <w:r w:rsidRPr="00246CF7">
        <w:rPr>
          <w:rFonts w:ascii="Roboto" w:eastAsia="Calibri" w:hAnsi="Roboto" w:cs="Arial"/>
          <w:bCs/>
          <w:szCs w:val="24"/>
        </w:rPr>
        <w:t>El Banco Central de Costa Rica se encuentra constituido como Autoridad Certificadora para la emisión de certificados de firma digital para personas físicas y jurídicas, para lo cual se encuentra debidamente inscrita y autorizada para su operación según la Dirección de Gobernanza del Ministerio de Ciencia, Tecnología y Telecomunicaciones, ente responsable de la administración y supervisión del Sistema Nacional de Certificación Digital. Y, en dicha calidad, posee las competencias legales para suscribir acuerdos con los representantes legales de las personas jurídicas que soliciten la emisión de certificados de tipo Sello Electrónico</w:t>
      </w:r>
      <w:r>
        <w:rPr>
          <w:rFonts w:ascii="Roboto" w:eastAsia="Calibri" w:hAnsi="Roboto" w:cs="Arial"/>
          <w:bCs/>
          <w:szCs w:val="24"/>
        </w:rPr>
        <w:t>.</w:t>
      </w:r>
    </w:p>
    <w:p w14:paraId="0FA669BF" w14:textId="77777777" w:rsidR="000456BC" w:rsidRPr="00246CF7" w:rsidRDefault="000456BC" w:rsidP="006F43EB">
      <w:pPr>
        <w:tabs>
          <w:tab w:val="left" w:pos="567"/>
        </w:tabs>
        <w:ind w:left="567" w:right="-193"/>
        <w:jc w:val="both"/>
        <w:rPr>
          <w:rFonts w:ascii="Roboto" w:eastAsia="Calibri" w:hAnsi="Roboto" w:cs="Arial"/>
          <w:bCs/>
          <w:szCs w:val="24"/>
        </w:rPr>
      </w:pPr>
    </w:p>
    <w:p w14:paraId="7E337383"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eastAsia="Calibri" w:hAnsi="Roboto" w:cs="Arial"/>
          <w:bCs/>
          <w:szCs w:val="24"/>
        </w:rPr>
      </w:pPr>
      <w:r w:rsidRPr="00246CF7">
        <w:rPr>
          <w:rFonts w:ascii="Roboto" w:eastAsia="Calibri" w:hAnsi="Roboto" w:cs="Arial"/>
          <w:bCs/>
          <w:szCs w:val="24"/>
        </w:rPr>
        <w:t xml:space="preserve">Que, el servicio de custodio de Sello Electrónico de Persona Jurídica fue aprobado de conformidad con el ejercicio de la potestad reglamentaria conferida por el legislador al Banco Central de Costa Rica, mediante su Junta Directiva, la cual aprobó en el artículo </w:t>
      </w:r>
      <w:r w:rsidRPr="00246CF7">
        <w:rPr>
          <w:rFonts w:ascii="Roboto" w:eastAsia="Calibri" w:hAnsi="Roboto" w:cs="Arial"/>
          <w:bCs/>
          <w:szCs w:val="24"/>
        </w:rPr>
        <w:lastRenderedPageBreak/>
        <w:t xml:space="preserve">6 del acta de la sesión 5825-2018, el servicio de Custodia del Certificado de Sello Electrónico de Persona jurídica, según se desprende del artículo 448 del Reglamento del Sistema de Pagos. </w:t>
      </w:r>
    </w:p>
    <w:p w14:paraId="16E37276" w14:textId="77777777" w:rsidR="000456BC" w:rsidRPr="00246CF7" w:rsidRDefault="000456BC" w:rsidP="006F43EB">
      <w:pPr>
        <w:tabs>
          <w:tab w:val="left" w:pos="567"/>
        </w:tabs>
        <w:ind w:left="567" w:right="-193"/>
        <w:jc w:val="both"/>
        <w:rPr>
          <w:rFonts w:ascii="Roboto" w:eastAsia="Calibri" w:hAnsi="Roboto" w:cs="Arial"/>
          <w:bCs/>
          <w:szCs w:val="24"/>
        </w:rPr>
      </w:pPr>
    </w:p>
    <w:p w14:paraId="2EAAD4BC"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Que, el artículo 2 de la Política de Certificados para la Jerarquía Nacional de Certificadores Registrados, emitido por el Ministerio de Ciencia, Tecnología y Telecomunicaciones y la Dirección Certificadores de Firma Digital delimita el término suscriptor de la siguiente manera: “</w:t>
      </w:r>
      <w:r w:rsidRPr="00246CF7">
        <w:rPr>
          <w:rFonts w:ascii="Roboto" w:hAnsi="Roboto" w:cstheme="majorHAnsi"/>
          <w:i/>
          <w:iCs/>
          <w:szCs w:val="24"/>
        </w:rPr>
        <w:t>Se define como suscriptor a todos los usuarios finales a quienes se les ha emitido un certificado por un CA, dentro de la jerarquía nacional de certificadores registrados. El suscriptor puede ser una persona física o una persona jurídica.</w:t>
      </w:r>
      <w:r w:rsidRPr="00246CF7">
        <w:rPr>
          <w:rFonts w:ascii="Roboto" w:hAnsi="Roboto" w:cstheme="majorHAnsi"/>
          <w:szCs w:val="24"/>
        </w:rPr>
        <w:t xml:space="preserve">” De conformidad con la definición anterior, la Superintendencia General de Valores, como órgano de desconcentración máxima del Banco Central de Costa Rica puede constituirse como usuario final para firmar documentos con su propio Sello Electrónico suministrado por el Banco Central de Costa Rica, en su calidad de Autoridad Certificadora. </w:t>
      </w:r>
    </w:p>
    <w:p w14:paraId="6AB00F27" w14:textId="77777777" w:rsidR="000456BC" w:rsidRPr="00246CF7" w:rsidRDefault="000456BC" w:rsidP="006F43EB">
      <w:pPr>
        <w:tabs>
          <w:tab w:val="left" w:pos="567"/>
        </w:tabs>
        <w:ind w:left="567" w:right="-193"/>
        <w:jc w:val="both"/>
        <w:rPr>
          <w:rFonts w:ascii="Roboto" w:eastAsia="Calibri" w:hAnsi="Roboto" w:cs="Arial"/>
          <w:bCs/>
          <w:szCs w:val="24"/>
        </w:rPr>
      </w:pPr>
    </w:p>
    <w:p w14:paraId="7F4249B8" w14:textId="77777777" w:rsidR="000456BC" w:rsidRPr="00246CF7" w:rsidRDefault="000456BC" w:rsidP="000456BC">
      <w:pPr>
        <w:numPr>
          <w:ilvl w:val="0"/>
          <w:numId w:val="2"/>
        </w:numPr>
        <w:tabs>
          <w:tab w:val="left" w:pos="567"/>
        </w:tabs>
        <w:spacing w:after="0" w:line="240" w:lineRule="auto"/>
        <w:ind w:left="567" w:right="-193" w:hanging="567"/>
        <w:jc w:val="both"/>
        <w:rPr>
          <w:rFonts w:ascii="Roboto" w:hAnsi="Roboto" w:cstheme="majorHAnsi"/>
          <w:szCs w:val="24"/>
        </w:rPr>
      </w:pPr>
      <w:r w:rsidRPr="00246CF7">
        <w:rPr>
          <w:rFonts w:ascii="Roboto" w:hAnsi="Roboto" w:cstheme="majorHAnsi"/>
          <w:szCs w:val="24"/>
        </w:rPr>
        <w:t xml:space="preserve">Que, en virtud de lo dispuesto en el artículo 8 incisos f) y j) de la Ley No. 7732, el Superintendente General de Valores en su calidad de Autoridad Máxima en materia administrativa y, como representante legal del Banco Central de Costa Rica para las funciones propias de su cargo, con base en los principios fundamentales del servicio público, para asegurar su continuidad, su eficiencia, su adaptación a todo cambio en el régimen legal o en la necesidad social que satisfacen y la igualdad en el trato de los destinatarios, usuarios o beneficiarios, tiene la potestad de autorizar la utilización del Certificado de tipo Sello Electrónico en los actos que considere necesarios para cumplir con el citado principio del servicio público. </w:t>
      </w:r>
    </w:p>
    <w:p w14:paraId="2D131008" w14:textId="77777777" w:rsidR="000456BC" w:rsidRDefault="000456BC" w:rsidP="006F43EB">
      <w:pPr>
        <w:tabs>
          <w:tab w:val="left" w:pos="567"/>
        </w:tabs>
        <w:ind w:left="567" w:right="-193"/>
        <w:jc w:val="both"/>
        <w:rPr>
          <w:rFonts w:ascii="Roboto" w:hAnsi="Roboto" w:cstheme="majorHAnsi"/>
          <w:szCs w:val="24"/>
        </w:rPr>
      </w:pPr>
    </w:p>
    <w:p w14:paraId="4F5AC3DE" w14:textId="77777777" w:rsidR="000456BC" w:rsidRDefault="000456BC" w:rsidP="000456BC">
      <w:pPr>
        <w:numPr>
          <w:ilvl w:val="0"/>
          <w:numId w:val="2"/>
        </w:numPr>
        <w:tabs>
          <w:tab w:val="left" w:pos="567"/>
        </w:tabs>
        <w:spacing w:after="0" w:line="240" w:lineRule="auto"/>
        <w:ind w:left="567" w:right="-193" w:hanging="567"/>
        <w:jc w:val="both"/>
        <w:rPr>
          <w:rFonts w:ascii="Roboto" w:hAnsi="Roboto" w:cstheme="majorHAnsi"/>
          <w:szCs w:val="24"/>
        </w:rPr>
      </w:pPr>
      <w:r w:rsidRPr="0009256B">
        <w:rPr>
          <w:rFonts w:ascii="Roboto" w:hAnsi="Roboto" w:cstheme="majorHAnsi"/>
          <w:szCs w:val="24"/>
        </w:rPr>
        <w:t xml:space="preserve">Como resultado del proceso de revisión continua de los acuerdos emitidos por el Superintendente, se han identificado mejoras a </w:t>
      </w:r>
      <w:r>
        <w:rPr>
          <w:rFonts w:ascii="Roboto" w:hAnsi="Roboto" w:cstheme="majorHAnsi"/>
          <w:szCs w:val="24"/>
        </w:rPr>
        <w:t>este acuerdo para ampliar la lista de actos administrativos y documentos que pueden ser firmados con el sello electrónico de la superintendencia</w:t>
      </w:r>
      <w:r w:rsidRPr="0009256B">
        <w:rPr>
          <w:rFonts w:ascii="Roboto" w:hAnsi="Roboto" w:cstheme="majorHAnsi"/>
          <w:szCs w:val="24"/>
        </w:rPr>
        <w:t>.</w:t>
      </w:r>
    </w:p>
    <w:p w14:paraId="681907FE" w14:textId="77777777" w:rsidR="000456BC" w:rsidRDefault="000456BC" w:rsidP="006F43EB">
      <w:pPr>
        <w:pStyle w:val="Prrafodelista"/>
        <w:rPr>
          <w:rFonts w:ascii="Roboto" w:hAnsi="Roboto" w:cstheme="majorHAnsi"/>
          <w:szCs w:val="24"/>
          <w:lang w:val="es-CR"/>
        </w:rPr>
      </w:pPr>
    </w:p>
    <w:p w14:paraId="23548E24" w14:textId="77777777" w:rsidR="000456BC" w:rsidRDefault="000456BC" w:rsidP="000456BC">
      <w:pPr>
        <w:numPr>
          <w:ilvl w:val="0"/>
          <w:numId w:val="2"/>
        </w:numPr>
        <w:tabs>
          <w:tab w:val="left" w:pos="567"/>
        </w:tabs>
        <w:spacing w:after="0" w:line="240" w:lineRule="auto"/>
        <w:ind w:left="567" w:right="-193" w:hanging="567"/>
        <w:jc w:val="both"/>
        <w:rPr>
          <w:rFonts w:ascii="Roboto" w:hAnsi="Roboto" w:cstheme="majorHAnsi"/>
          <w:szCs w:val="24"/>
        </w:rPr>
      </w:pPr>
      <w:r w:rsidRPr="00D45E36">
        <w:rPr>
          <w:rFonts w:ascii="Roboto" w:hAnsi="Roboto" w:cstheme="majorHAnsi"/>
          <w:szCs w:val="24"/>
        </w:rPr>
        <w:t xml:space="preserve">Mediante la resolución SGV-R-99-2024 del 23 de mayo del 2024, publicada en La Gaceta </w:t>
      </w:r>
      <w:proofErr w:type="spellStart"/>
      <w:r w:rsidRPr="00D45E36">
        <w:rPr>
          <w:rFonts w:ascii="Roboto" w:hAnsi="Roboto" w:cstheme="majorHAnsi"/>
          <w:szCs w:val="24"/>
        </w:rPr>
        <w:t>Nº</w:t>
      </w:r>
      <w:proofErr w:type="spellEnd"/>
      <w:r w:rsidRPr="00D45E36">
        <w:rPr>
          <w:rFonts w:ascii="Roboto" w:hAnsi="Roboto" w:cstheme="majorHAnsi"/>
          <w:szCs w:val="24"/>
        </w:rPr>
        <w:t xml:space="preserve"> 101 del miércoles 5 de junio del 2024, el Superintendente ordenó la delegación parcial de las competencias señaladas en el artículo 8 de la Ley Reguladora del Mercado de Valores indicadas para el Superintendente General de Valores en el Intendente General de Valores, con carácter de excepción y por casos específicos</w:t>
      </w:r>
      <w:r>
        <w:rPr>
          <w:rFonts w:ascii="Roboto" w:hAnsi="Roboto" w:cstheme="majorHAnsi"/>
          <w:szCs w:val="24"/>
        </w:rPr>
        <w:t>.</w:t>
      </w:r>
    </w:p>
    <w:p w14:paraId="7DDDC002" w14:textId="77777777" w:rsidR="000456BC" w:rsidRDefault="000456BC" w:rsidP="006F43EB">
      <w:pPr>
        <w:jc w:val="both"/>
        <w:rPr>
          <w:rFonts w:ascii="Roboto" w:hAnsi="Roboto" w:cs="Arial"/>
        </w:rPr>
      </w:pPr>
    </w:p>
    <w:p w14:paraId="3F1C1120" w14:textId="77777777" w:rsidR="000456BC" w:rsidRPr="003117AF" w:rsidRDefault="000456BC" w:rsidP="006F43EB">
      <w:pPr>
        <w:jc w:val="both"/>
        <w:rPr>
          <w:rFonts w:ascii="Roboto" w:eastAsia="Calibri" w:hAnsi="Roboto" w:cs="Arial"/>
        </w:rPr>
      </w:pPr>
      <w:r w:rsidRPr="003117AF">
        <w:rPr>
          <w:rFonts w:ascii="Roboto" w:eastAsia="Calibri" w:hAnsi="Roboto" w:cs="Arial"/>
        </w:rPr>
        <w:t>Por tanto, dispone el presente acuerdo:</w:t>
      </w:r>
    </w:p>
    <w:p w14:paraId="32C9D0F7" w14:textId="77777777" w:rsidR="000456BC" w:rsidRDefault="000456BC" w:rsidP="006F43EB">
      <w:pPr>
        <w:jc w:val="both"/>
        <w:rPr>
          <w:rFonts w:ascii="Arial" w:eastAsia="Calibri" w:hAnsi="Arial" w:cs="Arial"/>
        </w:rPr>
      </w:pPr>
    </w:p>
    <w:p w14:paraId="43C25453" w14:textId="77777777" w:rsidR="000456BC" w:rsidRPr="00F87CD2" w:rsidRDefault="000456BC" w:rsidP="006F43EB">
      <w:pPr>
        <w:jc w:val="both"/>
        <w:rPr>
          <w:rFonts w:ascii="Arial" w:eastAsia="Calibri" w:hAnsi="Arial" w:cs="Arial"/>
        </w:rPr>
      </w:pPr>
    </w:p>
    <w:p w14:paraId="0362737E" w14:textId="38249D5C" w:rsidR="000456BC" w:rsidRPr="00F87CD2" w:rsidRDefault="000456BC" w:rsidP="006F43EB">
      <w:pPr>
        <w:jc w:val="center"/>
        <w:rPr>
          <w:rFonts w:ascii="Arial" w:hAnsi="Arial" w:cs="Arial"/>
          <w:b/>
        </w:rPr>
      </w:pPr>
      <w:r>
        <w:rPr>
          <w:rFonts w:ascii="Arial" w:hAnsi="Arial" w:cs="Arial"/>
          <w:b/>
        </w:rPr>
        <w:t xml:space="preserve">SGV-A-5-2025 </w:t>
      </w:r>
      <w:r w:rsidRPr="002406C6">
        <w:rPr>
          <w:rFonts w:ascii="Arial" w:hAnsi="Arial" w:cs="Arial"/>
          <w:b/>
        </w:rPr>
        <w:t>USO DE SELLO ELECTRÓNICO</w:t>
      </w:r>
      <w:r>
        <w:rPr>
          <w:rFonts w:ascii="Arial" w:eastAsia="Calibri" w:hAnsi="Arial" w:cs="Arial"/>
          <w:bCs/>
          <w:szCs w:val="24"/>
          <w:lang w:eastAsia="es-CR"/>
        </w:rPr>
        <w:t xml:space="preserve"> </w:t>
      </w:r>
      <w:r w:rsidRPr="004C2163">
        <w:rPr>
          <w:rFonts w:ascii="Roboto" w:hAnsi="Roboto" w:cs="Arial"/>
          <w:b/>
        </w:rPr>
        <w:t xml:space="preserve"> </w:t>
      </w:r>
      <w:r w:rsidRPr="00F87CD2">
        <w:rPr>
          <w:rFonts w:ascii="Arial" w:hAnsi="Arial" w:cs="Arial"/>
          <w:b/>
        </w:rPr>
        <w:t xml:space="preserve"> </w:t>
      </w:r>
    </w:p>
    <w:p w14:paraId="72F5617E" w14:textId="77777777" w:rsidR="000456BC" w:rsidRPr="003117AF" w:rsidRDefault="000456BC" w:rsidP="006F43EB">
      <w:pPr>
        <w:jc w:val="center"/>
        <w:rPr>
          <w:rFonts w:ascii="Roboto" w:hAnsi="Roboto" w:cs="Arial"/>
          <w:b/>
        </w:rPr>
      </w:pPr>
      <w:r w:rsidRPr="003117AF">
        <w:rPr>
          <w:rFonts w:ascii="Roboto" w:hAnsi="Roboto" w:cs="Arial"/>
          <w:b/>
        </w:rPr>
        <w:t xml:space="preserve">  </w:t>
      </w:r>
    </w:p>
    <w:p w14:paraId="4AAA0BDE" w14:textId="77777777" w:rsidR="000456BC" w:rsidRPr="00E936F6" w:rsidRDefault="000456BC" w:rsidP="006F43EB">
      <w:pPr>
        <w:jc w:val="both"/>
        <w:rPr>
          <w:rFonts w:ascii="Roboto" w:hAnsi="Roboto"/>
        </w:rPr>
      </w:pPr>
      <w:r w:rsidRPr="00E936F6">
        <w:rPr>
          <w:rFonts w:ascii="Roboto" w:hAnsi="Roboto" w:cs="Segoe UI"/>
          <w:b/>
          <w:bCs/>
          <w:lang w:eastAsia="es-CR"/>
        </w:rPr>
        <w:lastRenderedPageBreak/>
        <w:t>Artículo Primero:</w:t>
      </w:r>
      <w:r w:rsidRPr="00E936F6">
        <w:rPr>
          <w:rFonts w:ascii="Roboto" w:hAnsi="Roboto" w:cs="Segoe UI"/>
          <w:lang w:eastAsia="es-CR"/>
        </w:rPr>
        <w:t xml:space="preserve"> </w:t>
      </w:r>
      <w:r w:rsidRPr="00E936F6">
        <w:rPr>
          <w:rFonts w:ascii="Roboto" w:hAnsi="Roboto"/>
        </w:rPr>
        <w:t xml:space="preserve">Autorizar la aplicación de la firma con el Sello Electrónico asignado a la Superintendencia General de </w:t>
      </w:r>
      <w:r>
        <w:rPr>
          <w:rFonts w:ascii="Roboto" w:hAnsi="Roboto"/>
        </w:rPr>
        <w:t>Valores</w:t>
      </w:r>
      <w:r w:rsidRPr="00E936F6">
        <w:rPr>
          <w:rFonts w:ascii="Roboto" w:hAnsi="Roboto"/>
        </w:rPr>
        <w:t xml:space="preserve"> para que se suscriban los siguientes actos administrativos y documentos:</w:t>
      </w:r>
    </w:p>
    <w:p w14:paraId="78962F78" w14:textId="77777777" w:rsidR="000456BC" w:rsidRPr="004C2163" w:rsidRDefault="000456BC" w:rsidP="006F43EB">
      <w:pPr>
        <w:jc w:val="both"/>
        <w:rPr>
          <w:rFonts w:ascii="Roboto" w:hAnsi="Roboto" w:cs="Arial"/>
          <w:sz w:val="20"/>
        </w:rPr>
      </w:pPr>
    </w:p>
    <w:p w14:paraId="34A7F70B"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Generación de acuses de recibo de correspondencia tramitada por MENDOCEL</w:t>
      </w:r>
      <w:r>
        <w:rPr>
          <w:rFonts w:ascii="Roboto" w:eastAsia="Calibri" w:hAnsi="Roboto" w:cs="Arial"/>
          <w:bCs/>
          <w:color w:val="000000" w:themeColor="text1"/>
          <w:szCs w:val="24"/>
        </w:rPr>
        <w:t>.</w:t>
      </w:r>
    </w:p>
    <w:p w14:paraId="2ABD42EE"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Generación de acuses de recibo de información periódica y oficios sobre requerimientos de información periódica recibida por la Ventanilla Virtual de la SUGEVAL.</w:t>
      </w:r>
    </w:p>
    <w:p w14:paraId="39BD6773"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Generación de certificaciones digitales de información contenida en el RNVI</w:t>
      </w:r>
      <w:r>
        <w:rPr>
          <w:rFonts w:ascii="Roboto" w:eastAsia="Calibri" w:hAnsi="Roboto" w:cs="Arial"/>
          <w:bCs/>
          <w:color w:val="000000" w:themeColor="text1"/>
          <w:szCs w:val="24"/>
        </w:rPr>
        <w:t>.</w:t>
      </w:r>
    </w:p>
    <w:p w14:paraId="32366917"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Firma del reporte consolidado de operaciones en efectivo (ICD)</w:t>
      </w:r>
      <w:r>
        <w:rPr>
          <w:rFonts w:ascii="Roboto" w:eastAsia="Calibri" w:hAnsi="Roboto" w:cs="Arial"/>
          <w:bCs/>
          <w:color w:val="000000" w:themeColor="text1"/>
          <w:szCs w:val="24"/>
        </w:rPr>
        <w:t>.</w:t>
      </w:r>
    </w:p>
    <w:p w14:paraId="6C6A67AD" w14:textId="77777777" w:rsidR="000456BC" w:rsidRPr="00683678" w:rsidRDefault="000456BC" w:rsidP="000456BC">
      <w:pPr>
        <w:pStyle w:val="xmsonormal"/>
        <w:numPr>
          <w:ilvl w:val="0"/>
          <w:numId w:val="8"/>
        </w:numPr>
        <w:jc w:val="both"/>
        <w:rPr>
          <w:rFonts w:ascii="Roboto" w:eastAsia="Times New Roman" w:hAnsi="Roboto" w:cs="Arial"/>
          <w:color w:val="000000" w:themeColor="text1"/>
          <w:sz w:val="24"/>
          <w:szCs w:val="24"/>
        </w:rPr>
      </w:pPr>
      <w:r w:rsidRPr="00683678">
        <w:rPr>
          <w:rFonts w:ascii="Roboto" w:eastAsia="Times New Roman" w:hAnsi="Roboto" w:cs="Arial"/>
          <w:color w:val="000000" w:themeColor="text1"/>
          <w:sz w:val="24"/>
          <w:szCs w:val="24"/>
        </w:rPr>
        <w:t>Generación de certificaciones digitales sobre el contenido de expedientes electrónicos.</w:t>
      </w:r>
    </w:p>
    <w:p w14:paraId="49184D43"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Generación de la constancia de cualquier paso del expediente (Registro de Roles)</w:t>
      </w:r>
      <w:r>
        <w:rPr>
          <w:rFonts w:ascii="Roboto" w:eastAsia="Calibri" w:hAnsi="Roboto" w:cs="Arial"/>
          <w:bCs/>
          <w:color w:val="000000" w:themeColor="text1"/>
          <w:szCs w:val="24"/>
        </w:rPr>
        <w:t>.</w:t>
      </w:r>
    </w:p>
    <w:p w14:paraId="4458CF18"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Descarga de la declaración jurada (Registro de Roles).</w:t>
      </w:r>
    </w:p>
    <w:p w14:paraId="1E0D97B3" w14:textId="77777777" w:rsidR="000456BC" w:rsidRPr="00683678" w:rsidRDefault="000456BC" w:rsidP="000456BC">
      <w:pPr>
        <w:numPr>
          <w:ilvl w:val="0"/>
          <w:numId w:val="8"/>
        </w:numPr>
        <w:spacing w:after="0" w:line="240" w:lineRule="auto"/>
        <w:jc w:val="both"/>
        <w:rPr>
          <w:rFonts w:ascii="Roboto" w:eastAsia="Calibri" w:hAnsi="Roboto" w:cs="Arial"/>
          <w:bCs/>
          <w:color w:val="000000" w:themeColor="text1"/>
          <w:szCs w:val="24"/>
        </w:rPr>
      </w:pPr>
      <w:r w:rsidRPr="00683678">
        <w:rPr>
          <w:rFonts w:ascii="Roboto" w:eastAsia="Calibri" w:hAnsi="Roboto" w:cs="Arial"/>
          <w:bCs/>
          <w:color w:val="000000" w:themeColor="text1"/>
          <w:szCs w:val="24"/>
        </w:rPr>
        <w:t xml:space="preserve">Generación de los oficios por concepto de cobro por los servicios de supervisión que realiza la superintendencia. </w:t>
      </w:r>
    </w:p>
    <w:p w14:paraId="0A81688D"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683678">
        <w:rPr>
          <w:rFonts w:ascii="Roboto" w:eastAsia="Calibri" w:hAnsi="Roboto" w:cs="Arial"/>
          <w:bCs/>
          <w:color w:val="000000" w:themeColor="text1"/>
          <w:sz w:val="24"/>
          <w:szCs w:val="28"/>
        </w:rPr>
        <w:t>Cobro</w:t>
      </w:r>
      <w:proofErr w:type="spellEnd"/>
      <w:r w:rsidRPr="00683678">
        <w:rPr>
          <w:rFonts w:ascii="Roboto" w:eastAsia="Calibri" w:hAnsi="Roboto" w:cs="Arial"/>
          <w:bCs/>
          <w:color w:val="000000" w:themeColor="text1"/>
          <w:sz w:val="24"/>
          <w:szCs w:val="28"/>
        </w:rPr>
        <w:t xml:space="preserve"> </w:t>
      </w:r>
      <w:proofErr w:type="spellStart"/>
      <w:r w:rsidRPr="00683678">
        <w:rPr>
          <w:rFonts w:ascii="Roboto" w:eastAsia="Calibri" w:hAnsi="Roboto" w:cs="Arial"/>
          <w:bCs/>
          <w:color w:val="000000" w:themeColor="text1"/>
          <w:sz w:val="24"/>
          <w:szCs w:val="28"/>
        </w:rPr>
        <w:t>parcial</w:t>
      </w:r>
      <w:proofErr w:type="spellEnd"/>
      <w:r w:rsidRPr="00683678">
        <w:rPr>
          <w:rFonts w:ascii="Roboto" w:eastAsia="Calibri" w:hAnsi="Roboto" w:cs="Arial"/>
          <w:bCs/>
          <w:color w:val="000000" w:themeColor="text1"/>
          <w:sz w:val="24"/>
          <w:szCs w:val="28"/>
        </w:rPr>
        <w:t>.</w:t>
      </w:r>
    </w:p>
    <w:p w14:paraId="21949761"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683678">
        <w:rPr>
          <w:rFonts w:ascii="Roboto" w:eastAsia="Calibri" w:hAnsi="Roboto" w:cs="Arial"/>
          <w:bCs/>
          <w:color w:val="000000" w:themeColor="text1"/>
          <w:sz w:val="24"/>
          <w:szCs w:val="28"/>
        </w:rPr>
        <w:t>Cobro</w:t>
      </w:r>
      <w:proofErr w:type="spellEnd"/>
      <w:r w:rsidRPr="00683678">
        <w:rPr>
          <w:rFonts w:ascii="Roboto" w:eastAsia="Calibri" w:hAnsi="Roboto" w:cs="Arial"/>
          <w:bCs/>
          <w:color w:val="000000" w:themeColor="text1"/>
          <w:sz w:val="24"/>
          <w:szCs w:val="28"/>
        </w:rPr>
        <w:t xml:space="preserve"> final.</w:t>
      </w:r>
    </w:p>
    <w:p w14:paraId="5C8039E1"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rPr>
      </w:pPr>
      <w:proofErr w:type="spellStart"/>
      <w:r w:rsidRPr="00683678">
        <w:rPr>
          <w:rFonts w:ascii="Roboto" w:eastAsia="Calibri" w:hAnsi="Roboto" w:cs="Arial"/>
          <w:bCs/>
          <w:color w:val="000000" w:themeColor="text1"/>
          <w:sz w:val="24"/>
          <w:szCs w:val="28"/>
        </w:rPr>
        <w:t>Cobro</w:t>
      </w:r>
      <w:proofErr w:type="spellEnd"/>
      <w:r w:rsidRPr="00683678">
        <w:rPr>
          <w:rFonts w:ascii="Roboto" w:eastAsia="Calibri" w:hAnsi="Roboto" w:cs="Arial"/>
          <w:bCs/>
          <w:color w:val="000000" w:themeColor="text1"/>
          <w:sz w:val="24"/>
          <w:szCs w:val="28"/>
        </w:rPr>
        <w:t xml:space="preserve"> </w:t>
      </w:r>
      <w:proofErr w:type="spellStart"/>
      <w:r w:rsidRPr="00683678">
        <w:rPr>
          <w:rFonts w:ascii="Roboto" w:eastAsia="Calibri" w:hAnsi="Roboto" w:cs="Arial"/>
          <w:bCs/>
          <w:color w:val="000000" w:themeColor="text1"/>
          <w:sz w:val="24"/>
          <w:szCs w:val="28"/>
        </w:rPr>
        <w:t>por</w:t>
      </w:r>
      <w:proofErr w:type="spellEnd"/>
      <w:r w:rsidRPr="00683678">
        <w:rPr>
          <w:rFonts w:ascii="Roboto" w:eastAsia="Calibri" w:hAnsi="Roboto" w:cs="Arial"/>
          <w:bCs/>
          <w:color w:val="000000" w:themeColor="text1"/>
          <w:sz w:val="24"/>
          <w:szCs w:val="28"/>
        </w:rPr>
        <w:t xml:space="preserve"> </w:t>
      </w:r>
      <w:proofErr w:type="spellStart"/>
      <w:r w:rsidRPr="00683678">
        <w:rPr>
          <w:rFonts w:ascii="Roboto" w:eastAsia="Calibri" w:hAnsi="Roboto" w:cs="Arial"/>
          <w:bCs/>
          <w:color w:val="000000" w:themeColor="text1"/>
          <w:sz w:val="24"/>
          <w:szCs w:val="28"/>
        </w:rPr>
        <w:t>recalculo</w:t>
      </w:r>
      <w:proofErr w:type="spellEnd"/>
      <w:r w:rsidRPr="00683678">
        <w:rPr>
          <w:rFonts w:ascii="Roboto" w:eastAsia="Calibri" w:hAnsi="Roboto" w:cs="Arial"/>
          <w:bCs/>
          <w:color w:val="000000" w:themeColor="text1"/>
          <w:sz w:val="24"/>
          <w:szCs w:val="28"/>
        </w:rPr>
        <w:t xml:space="preserve">. </w:t>
      </w:r>
    </w:p>
    <w:p w14:paraId="3E395E2E"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lang w:val="es-CR"/>
        </w:rPr>
      </w:pPr>
      <w:r w:rsidRPr="00683678">
        <w:rPr>
          <w:rFonts w:ascii="Roboto" w:eastAsia="Calibri" w:hAnsi="Roboto" w:cs="Arial"/>
          <w:bCs/>
          <w:color w:val="000000" w:themeColor="text1"/>
          <w:sz w:val="24"/>
          <w:szCs w:val="28"/>
          <w:lang w:val="es-CR"/>
        </w:rPr>
        <w:t xml:space="preserve">Cobro por salida de entidad. </w:t>
      </w:r>
    </w:p>
    <w:p w14:paraId="39DEE4B3"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lang w:val="es-CR"/>
        </w:rPr>
      </w:pPr>
      <w:r w:rsidRPr="00683678">
        <w:rPr>
          <w:rFonts w:ascii="Roboto" w:eastAsia="Calibri" w:hAnsi="Roboto" w:cs="Arial"/>
          <w:bCs/>
          <w:color w:val="000000" w:themeColor="text1"/>
          <w:sz w:val="24"/>
          <w:szCs w:val="28"/>
          <w:lang w:val="es-CR"/>
        </w:rPr>
        <w:t>Cobro por ingreso de entidad.</w:t>
      </w:r>
    </w:p>
    <w:p w14:paraId="36F886A3" w14:textId="77777777" w:rsidR="000456BC" w:rsidRPr="00683678" w:rsidRDefault="000456BC" w:rsidP="000456BC">
      <w:pPr>
        <w:pStyle w:val="Prrafodelista"/>
        <w:numPr>
          <w:ilvl w:val="0"/>
          <w:numId w:val="9"/>
        </w:numPr>
        <w:ind w:left="851" w:hanging="350"/>
        <w:jc w:val="both"/>
        <w:rPr>
          <w:rFonts w:ascii="Roboto" w:eastAsia="Calibri" w:hAnsi="Roboto" w:cs="Arial"/>
          <w:bCs/>
          <w:color w:val="000000" w:themeColor="text1"/>
          <w:sz w:val="24"/>
          <w:szCs w:val="28"/>
          <w:lang w:val="es-CR"/>
        </w:rPr>
      </w:pPr>
      <w:r w:rsidRPr="00683678">
        <w:rPr>
          <w:rFonts w:ascii="Roboto" w:eastAsia="Calibri" w:hAnsi="Roboto" w:cs="Arial"/>
          <w:bCs/>
          <w:color w:val="000000" w:themeColor="text1"/>
          <w:sz w:val="24"/>
          <w:szCs w:val="28"/>
          <w:lang w:val="es-ES"/>
        </w:rPr>
        <w:t>Proyección de cobro.</w:t>
      </w:r>
    </w:p>
    <w:p w14:paraId="7751EC5C" w14:textId="77777777" w:rsidR="000456BC" w:rsidRPr="00683678" w:rsidRDefault="000456BC" w:rsidP="000456BC">
      <w:pPr>
        <w:pStyle w:val="Prrafodelista"/>
        <w:numPr>
          <w:ilvl w:val="0"/>
          <w:numId w:val="8"/>
        </w:numPr>
        <w:jc w:val="both"/>
        <w:rPr>
          <w:rFonts w:ascii="Roboto" w:eastAsia="Calibri" w:hAnsi="Roboto" w:cs="Arial"/>
          <w:bCs/>
          <w:color w:val="000000" w:themeColor="text1"/>
          <w:sz w:val="24"/>
          <w:szCs w:val="24"/>
          <w:lang w:val="es-CR"/>
        </w:rPr>
      </w:pPr>
      <w:r w:rsidRPr="00683678">
        <w:rPr>
          <w:rFonts w:ascii="Roboto" w:eastAsia="Calibri" w:hAnsi="Roboto" w:cs="Arial"/>
          <w:bCs/>
          <w:color w:val="000000" w:themeColor="text1"/>
          <w:sz w:val="24"/>
          <w:szCs w:val="24"/>
          <w:lang w:val="es-CR"/>
        </w:rPr>
        <w:t>Generación de comprobante de inclusión de documentos en el Expediente de Procedimientos Administrativos (EEPA).</w:t>
      </w:r>
    </w:p>
    <w:p w14:paraId="1CE57AC3" w14:textId="77777777" w:rsidR="000456BC" w:rsidRPr="004C2163" w:rsidRDefault="000456BC" w:rsidP="006F43EB">
      <w:pPr>
        <w:jc w:val="center"/>
        <w:rPr>
          <w:rFonts w:ascii="Roboto" w:hAnsi="Roboto" w:cs="Arial"/>
          <w:sz w:val="20"/>
        </w:rPr>
      </w:pPr>
    </w:p>
    <w:p w14:paraId="2AA34FB3" w14:textId="77777777" w:rsidR="000456BC" w:rsidRPr="00E936F6" w:rsidRDefault="000456BC" w:rsidP="006F43EB">
      <w:pPr>
        <w:pStyle w:val="NormalWeb"/>
        <w:spacing w:before="0" w:beforeAutospacing="0" w:after="0" w:afterAutospacing="0"/>
        <w:jc w:val="both"/>
        <w:rPr>
          <w:rFonts w:ascii="Roboto" w:hAnsi="Roboto" w:cs="Segoe UI"/>
        </w:rPr>
      </w:pPr>
      <w:r w:rsidRPr="00E936F6">
        <w:rPr>
          <w:rFonts w:ascii="Roboto" w:hAnsi="Roboto"/>
          <w:b/>
          <w:bCs/>
        </w:rPr>
        <w:t xml:space="preserve">Artículo Segundo: </w:t>
      </w:r>
      <w:r w:rsidRPr="00E936F6">
        <w:rPr>
          <w:rFonts w:ascii="Roboto" w:hAnsi="Roboto" w:cs="Segoe UI"/>
        </w:rPr>
        <w:t>El Superintendente, con base en los principios fundamentales del servicio público, para asegurar su continuidad, su eficiencia, su adaptación a todo cambio en el régimen legal o en la necesidad social que satisfacen y la igualdad en el trato de los destinatarios, usuarios o beneficiarios, podrá autorizar el uso del sello electrónico en otros trámites y fases, e igualmente podrá eliminar su uso.</w:t>
      </w:r>
    </w:p>
    <w:p w14:paraId="56355D18" w14:textId="77777777" w:rsidR="000456BC" w:rsidRPr="005B75F2" w:rsidRDefault="000456BC" w:rsidP="006F43EB">
      <w:pPr>
        <w:jc w:val="center"/>
        <w:rPr>
          <w:rFonts w:ascii="Roboto" w:hAnsi="Roboto" w:cs="Arial"/>
          <w:sz w:val="20"/>
        </w:rPr>
      </w:pPr>
    </w:p>
    <w:p w14:paraId="58413E1B" w14:textId="77777777" w:rsidR="000456BC" w:rsidRPr="00177BC9" w:rsidRDefault="000456BC" w:rsidP="006F43EB">
      <w:pPr>
        <w:tabs>
          <w:tab w:val="center" w:pos="4419"/>
        </w:tabs>
        <w:jc w:val="both"/>
        <w:rPr>
          <w:rFonts w:ascii="Roboto" w:hAnsi="Roboto" w:cs="Arial"/>
          <w:iCs/>
          <w:noProof/>
          <w:lang w:val="es-ES_tradnl"/>
        </w:rPr>
      </w:pPr>
      <w:r w:rsidRPr="00177BC9">
        <w:rPr>
          <w:rFonts w:ascii="Roboto" w:eastAsia="Calibri" w:hAnsi="Roboto" w:cs="Arial"/>
          <w:b/>
        </w:rPr>
        <w:t xml:space="preserve">Artículo Tercero: </w:t>
      </w:r>
      <w:r w:rsidRPr="00177BC9">
        <w:rPr>
          <w:rFonts w:ascii="Roboto" w:hAnsi="Roboto" w:cs="Arial"/>
          <w:lang w:val="es-ES_tradnl"/>
        </w:rPr>
        <w:t xml:space="preserve">Lo señalado en este acuerdo deroga lo establecido en el acuerdo </w:t>
      </w:r>
      <w:r w:rsidRPr="00177BC9">
        <w:rPr>
          <w:rFonts w:ascii="Roboto" w:hAnsi="Roboto" w:cs="Arial"/>
          <w:b/>
          <w:bCs/>
          <w:iCs/>
          <w:noProof/>
          <w:lang w:val="es-ES_tradnl"/>
        </w:rPr>
        <w:t>SGV-A-5-2024.</w:t>
      </w:r>
      <w:r w:rsidRPr="00177BC9">
        <w:rPr>
          <w:rFonts w:ascii="Roboto" w:hAnsi="Roboto" w:cs="Arial"/>
          <w:iCs/>
          <w:noProof/>
          <w:lang w:val="es-ES_tradnl"/>
        </w:rPr>
        <w:t xml:space="preserve">  Superintendencia General de Valores.  Despacho del Superintendente, de las doce horas del veinticinco de setiembre del dos mil veinticuatro.</w:t>
      </w:r>
    </w:p>
    <w:p w14:paraId="59F86A39" w14:textId="77777777" w:rsidR="000456BC" w:rsidRPr="00177BC9" w:rsidRDefault="000456BC" w:rsidP="006F43EB">
      <w:pPr>
        <w:tabs>
          <w:tab w:val="left" w:pos="6740"/>
          <w:tab w:val="right" w:pos="9360"/>
        </w:tabs>
        <w:jc w:val="both"/>
        <w:rPr>
          <w:rFonts w:ascii="Roboto" w:hAnsi="Roboto"/>
          <w:b/>
          <w:bCs/>
          <w:lang w:val="es-ES_tradnl"/>
        </w:rPr>
      </w:pPr>
    </w:p>
    <w:p w14:paraId="06CE1AEF" w14:textId="4AD72B5F" w:rsidR="000456BC" w:rsidRDefault="000456BC" w:rsidP="000456BC">
      <w:pPr>
        <w:ind w:right="-193"/>
        <w:rPr>
          <w:rFonts w:ascii="Roboto" w:hAnsi="Roboto" w:cs="Arial"/>
          <w:b/>
        </w:rPr>
      </w:pPr>
      <w:r w:rsidRPr="00177BC9">
        <w:rPr>
          <w:rFonts w:ascii="Roboto" w:hAnsi="Roboto"/>
          <w:b/>
          <w:bCs/>
        </w:rPr>
        <w:t>Artículo Cuarto:</w:t>
      </w:r>
      <w:r w:rsidRPr="00177BC9">
        <w:rPr>
          <w:rFonts w:ascii="Roboto" w:hAnsi="Roboto"/>
        </w:rPr>
        <w:t xml:space="preserve"> Comuníquese y publíquese en el diario oficial La Gaceta el presente acuerdo</w:t>
      </w:r>
      <w:r>
        <w:rPr>
          <w:rFonts w:ascii="Roboto" w:hAnsi="Roboto"/>
        </w:rPr>
        <w:t>.</w:t>
      </w:r>
    </w:p>
    <w:sectPr w:rsidR="000456BC" w:rsidSect="009C6139">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8067" w14:textId="77777777" w:rsidR="001A5638" w:rsidRDefault="001A5638" w:rsidP="009C6139">
      <w:pPr>
        <w:spacing w:after="0" w:line="240" w:lineRule="auto"/>
      </w:pPr>
      <w:r>
        <w:separator/>
      </w:r>
    </w:p>
  </w:endnote>
  <w:endnote w:type="continuationSeparator" w:id="0">
    <w:p w14:paraId="0CD3A902" w14:textId="77777777" w:rsidR="001A5638" w:rsidRDefault="001A5638" w:rsidP="009C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920DD" w14:textId="528A95F8" w:rsidR="009C6139" w:rsidRDefault="006272BC">
    <w:pPr>
      <w:pStyle w:val="Piedepgina"/>
    </w:pPr>
    <w:r>
      <w:rPr>
        <w:noProof/>
      </w:rPr>
      <mc:AlternateContent>
        <mc:Choice Requires="wps">
          <w:drawing>
            <wp:anchor distT="0" distB="0" distL="0" distR="0" simplePos="0" relativeHeight="251668480" behindDoc="0" locked="0" layoutInCell="1" allowOverlap="1" wp14:anchorId="29A81B1E" wp14:editId="5A6E36DD">
              <wp:simplePos x="635" y="635"/>
              <wp:positionH relativeFrom="page">
                <wp:align>center</wp:align>
              </wp:positionH>
              <wp:positionV relativeFrom="page">
                <wp:align>bottom</wp:align>
              </wp:positionV>
              <wp:extent cx="609600" cy="357505"/>
              <wp:effectExtent l="0" t="0" r="0" b="0"/>
              <wp:wrapNone/>
              <wp:docPr id="1193153604"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7966CFD9" w14:textId="7840A1B4"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81B1E" id="_x0000_t202" coordsize="21600,21600" o:spt="202" path="m,l,21600r21600,l21600,xe">
              <v:stroke joinstyle="miter"/>
              <v:path gradientshapeok="t" o:connecttype="rect"/>
            </v:shapetype>
            <v:shape id="Cuadro de texto 2" o:spid="_x0000_s1026" type="#_x0000_t202" alt="Uso Interno" style="position:absolute;margin-left:0;margin-top:0;width:48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" filled="f" stroked="f">
              <v:textbox style="mso-fit-shape-to-text:t" inset="0,0,0,15pt">
                <w:txbxContent>
                  <w:p w14:paraId="7966CFD9" w14:textId="7840A1B4"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D2BE" w14:textId="770F0EE1" w:rsidR="009C6139" w:rsidRPr="009C6139" w:rsidRDefault="006272BC" w:rsidP="009C6139">
    <w:pPr>
      <w:pStyle w:val="Piedepgina"/>
      <w:pBdr>
        <w:top w:val="single" w:sz="4" w:space="1" w:color="D9D9D9"/>
      </w:pBdr>
      <w:rPr>
        <w:rFonts w:ascii="Arial" w:hAnsi="Arial" w:cs="Arial"/>
        <w:b/>
        <w:bCs/>
        <w:color w:val="1B75BB"/>
      </w:rPr>
    </w:pPr>
    <w:r>
      <w:rPr>
        <w:rFonts w:ascii="Arial" w:hAnsi="Arial" w:cs="Arial"/>
        <w:b/>
        <w:bCs/>
        <w:noProof/>
        <w:color w:val="1B75BB"/>
      </w:rPr>
      <mc:AlternateContent>
        <mc:Choice Requires="wps">
          <w:drawing>
            <wp:anchor distT="0" distB="0" distL="0" distR="0" simplePos="0" relativeHeight="251669504" behindDoc="0" locked="0" layoutInCell="1" allowOverlap="1" wp14:anchorId="17BAC181" wp14:editId="3EE54B7A">
              <wp:simplePos x="1080770" y="9429750"/>
              <wp:positionH relativeFrom="page">
                <wp:align>center</wp:align>
              </wp:positionH>
              <wp:positionV relativeFrom="page">
                <wp:align>bottom</wp:align>
              </wp:positionV>
              <wp:extent cx="609600" cy="357505"/>
              <wp:effectExtent l="0" t="0" r="0" b="0"/>
              <wp:wrapNone/>
              <wp:docPr id="1077675070"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3BB4621E" w14:textId="1224F18B"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AC181" id="_x0000_t202" coordsize="21600,21600" o:spt="202" path="m,l,21600r21600,l21600,xe">
              <v:stroke joinstyle="miter"/>
              <v:path gradientshapeok="t" o:connecttype="rect"/>
            </v:shapetype>
            <v:shape id="Cuadro de texto 3" o:spid="_x0000_s1027" type="#_x0000_t202" alt="Uso Interno" style="position:absolute;margin-left:0;margin-top:0;width:48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" filled="f" stroked="f">
              <v:textbox style="mso-fit-shape-to-text:t" inset="0,0,0,15pt">
                <w:txbxContent>
                  <w:p w14:paraId="3BB4621E" w14:textId="1224F18B"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v:textbox>
              <w10:wrap anchorx="page" anchory="page"/>
            </v:shape>
          </w:pict>
        </mc:Fallback>
      </mc:AlternateContent>
    </w:r>
    <w:r w:rsidR="009C6139" w:rsidRPr="003959B0">
      <w:rPr>
        <w:rFonts w:ascii="Arial" w:hAnsi="Arial" w:cs="Arial"/>
        <w:b/>
        <w:bCs/>
        <w:color w:val="1B75BB"/>
      </w:rPr>
      <w:fldChar w:fldCharType="begin"/>
    </w:r>
    <w:r w:rsidR="009C6139" w:rsidRPr="003959B0">
      <w:rPr>
        <w:rFonts w:ascii="Arial" w:hAnsi="Arial" w:cs="Arial"/>
        <w:b/>
        <w:bCs/>
        <w:color w:val="1B75BB"/>
      </w:rPr>
      <w:instrText xml:space="preserve"> PAGE   \* MERGEFORMAT </w:instrText>
    </w:r>
    <w:r w:rsidR="009C6139" w:rsidRPr="003959B0">
      <w:rPr>
        <w:rFonts w:ascii="Arial" w:hAnsi="Arial" w:cs="Arial"/>
        <w:b/>
        <w:bCs/>
        <w:color w:val="1B75BB"/>
      </w:rPr>
      <w:fldChar w:fldCharType="separate"/>
    </w:r>
    <w:r w:rsidR="009C6139">
      <w:rPr>
        <w:rFonts w:ascii="Arial" w:hAnsi="Arial" w:cs="Arial"/>
        <w:b/>
        <w:bCs/>
        <w:color w:val="1B75BB"/>
      </w:rPr>
      <w:t>2</w:t>
    </w:r>
    <w:r w:rsidR="009C6139" w:rsidRPr="003959B0">
      <w:rPr>
        <w:rFonts w:ascii="Arial" w:hAnsi="Arial" w:cs="Arial"/>
        <w:b/>
        <w:bCs/>
        <w:noProof/>
        <w:color w:val="1B75BB"/>
      </w:rPr>
      <w:fldChar w:fldCharType="end"/>
    </w:r>
    <w:r w:rsidR="009C6139" w:rsidRPr="003959B0">
      <w:rPr>
        <w:rFonts w:ascii="Arial" w:hAnsi="Arial" w:cs="Arial"/>
        <w:b/>
        <w:bCs/>
        <w:color w:val="1B75BB"/>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D4A5" w14:textId="4179D35A" w:rsidR="009C6139" w:rsidRDefault="006272BC">
    <w:pPr>
      <w:pStyle w:val="Piedepgina"/>
    </w:pPr>
    <w:r>
      <w:rPr>
        <w:noProof/>
      </w:rPr>
      <mc:AlternateContent>
        <mc:Choice Requires="wps">
          <w:drawing>
            <wp:anchor distT="0" distB="0" distL="0" distR="0" simplePos="0" relativeHeight="251667456" behindDoc="0" locked="0" layoutInCell="1" allowOverlap="1" wp14:anchorId="79ADF224" wp14:editId="7D07BE7E">
              <wp:simplePos x="1079500" y="9440333"/>
              <wp:positionH relativeFrom="page">
                <wp:align>center</wp:align>
              </wp:positionH>
              <wp:positionV relativeFrom="page">
                <wp:align>bottom</wp:align>
              </wp:positionV>
              <wp:extent cx="609600" cy="357505"/>
              <wp:effectExtent l="0" t="0" r="0" b="0"/>
              <wp:wrapNone/>
              <wp:docPr id="201192407"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14:paraId="3006E336" w14:textId="13475833"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DF224" id="_x0000_t202" coordsize="21600,21600" o:spt="202" path="m,l,21600r21600,l21600,xe">
              <v:stroke joinstyle="miter"/>
              <v:path gradientshapeok="t" o:connecttype="rect"/>
            </v:shapetype>
            <v:shape id="Cuadro de texto 1" o:spid="_x0000_s1028" type="#_x0000_t202" alt="Uso Interno" style="position:absolute;margin-left:0;margin-top:0;width:48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" filled="f" stroked="f">
              <v:textbox style="mso-fit-shape-to-text:t" inset="0,0,0,15pt">
                <w:txbxContent>
                  <w:p w14:paraId="3006E336" w14:textId="13475833" w:rsidR="006272BC" w:rsidRPr="006272BC" w:rsidRDefault="006272BC" w:rsidP="006272BC">
                    <w:pPr>
                      <w:spacing w:after="0"/>
                      <w:rPr>
                        <w:rFonts w:ascii="Calibri" w:eastAsia="Calibri" w:hAnsi="Calibri" w:cs="Calibri"/>
                        <w:noProof/>
                        <w:color w:val="000000"/>
                        <w:sz w:val="20"/>
                        <w:szCs w:val="20"/>
                      </w:rPr>
                    </w:pPr>
                    <w:r w:rsidRPr="006272BC">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F22F" w14:textId="77777777" w:rsidR="001A5638" w:rsidRDefault="001A5638" w:rsidP="009C6139">
      <w:pPr>
        <w:spacing w:after="0" w:line="240" w:lineRule="auto"/>
      </w:pPr>
      <w:r>
        <w:separator/>
      </w:r>
    </w:p>
  </w:footnote>
  <w:footnote w:type="continuationSeparator" w:id="0">
    <w:p w14:paraId="4323DF21" w14:textId="77777777" w:rsidR="001A5638" w:rsidRDefault="001A5638" w:rsidP="009C6139">
      <w:pPr>
        <w:spacing w:after="0" w:line="240" w:lineRule="auto"/>
      </w:pPr>
      <w:r>
        <w:continuationSeparator/>
      </w:r>
    </w:p>
  </w:footnote>
  <w:footnote w:id="1">
    <w:p w14:paraId="1A42B5C5" w14:textId="55AB1C61" w:rsidR="00830429" w:rsidRPr="00830429" w:rsidRDefault="00830429" w:rsidP="00830429">
      <w:pPr>
        <w:pStyle w:val="Textonotapie"/>
        <w:jc w:val="both"/>
        <w:rPr>
          <w:rFonts w:ascii="Arial" w:hAnsi="Arial" w:cs="Arial"/>
          <w:lang w:val="es-CR"/>
        </w:rPr>
      </w:pPr>
      <w:r w:rsidRPr="00830429">
        <w:rPr>
          <w:rStyle w:val="Refdenotaalpie"/>
          <w:rFonts w:ascii="Arial" w:hAnsi="Arial" w:cs="Arial"/>
        </w:rPr>
        <w:footnoteRef/>
      </w:r>
      <w:r w:rsidRPr="00830429">
        <w:rPr>
          <w:rFonts w:ascii="Arial" w:hAnsi="Arial" w:cs="Arial"/>
        </w:rPr>
        <w:t xml:space="preserve"> Superintendencia General de Valores. Despacho del </w:t>
      </w:r>
      <w:r w:rsidR="000456BC">
        <w:rPr>
          <w:rFonts w:ascii="Arial" w:hAnsi="Arial" w:cs="Arial"/>
        </w:rPr>
        <w:t>Intendente</w:t>
      </w:r>
      <w:r w:rsidRPr="00830429">
        <w:rPr>
          <w:rFonts w:ascii="Arial" w:hAnsi="Arial" w:cs="Arial"/>
        </w:rPr>
        <w:t xml:space="preserve">. </w:t>
      </w:r>
      <w:r w:rsidR="000456BC" w:rsidRPr="003117AF">
        <w:rPr>
          <w:rFonts w:ascii="Roboto" w:hAnsi="Roboto" w:cs="Arial"/>
          <w:bCs/>
        </w:rPr>
        <w:t xml:space="preserve">A las </w:t>
      </w:r>
      <w:r w:rsidR="000456BC">
        <w:rPr>
          <w:rFonts w:ascii="Roboto" w:hAnsi="Roboto" w:cs="Arial"/>
          <w:bCs/>
        </w:rPr>
        <w:t>dieciséis</w:t>
      </w:r>
      <w:r w:rsidR="000456BC" w:rsidRPr="003117AF">
        <w:rPr>
          <w:rFonts w:ascii="Roboto" w:hAnsi="Roboto" w:cs="Arial"/>
          <w:bCs/>
        </w:rPr>
        <w:t xml:space="preserve"> horas y </w:t>
      </w:r>
      <w:r w:rsidR="000456BC">
        <w:rPr>
          <w:rFonts w:ascii="Roboto" w:hAnsi="Roboto" w:cs="Arial"/>
          <w:bCs/>
        </w:rPr>
        <w:t>treinta</w:t>
      </w:r>
      <w:r w:rsidR="000456BC" w:rsidRPr="003117AF">
        <w:rPr>
          <w:rFonts w:ascii="Roboto" w:hAnsi="Roboto" w:cs="Arial"/>
          <w:bCs/>
        </w:rPr>
        <w:t xml:space="preserve"> minutos del </w:t>
      </w:r>
      <w:r w:rsidR="000456BC">
        <w:rPr>
          <w:rFonts w:ascii="Roboto" w:hAnsi="Roboto" w:cs="Arial"/>
          <w:bCs/>
        </w:rPr>
        <w:t>diecinueve</w:t>
      </w:r>
      <w:r w:rsidR="000456BC" w:rsidRPr="003117AF">
        <w:rPr>
          <w:rFonts w:ascii="Roboto" w:hAnsi="Roboto" w:cs="Arial"/>
          <w:bCs/>
        </w:rPr>
        <w:t xml:space="preserve"> de </w:t>
      </w:r>
      <w:r w:rsidR="000456BC">
        <w:rPr>
          <w:rFonts w:ascii="Roboto" w:hAnsi="Roboto" w:cs="Arial"/>
          <w:bCs/>
        </w:rPr>
        <w:t>junio</w:t>
      </w:r>
      <w:r w:rsidR="000456BC" w:rsidRPr="003117AF">
        <w:rPr>
          <w:rFonts w:ascii="Roboto" w:hAnsi="Roboto" w:cs="Arial"/>
          <w:bCs/>
        </w:rPr>
        <w:t xml:space="preserve"> del </w:t>
      </w:r>
      <w:r w:rsidR="000456BC">
        <w:rPr>
          <w:rFonts w:ascii="Roboto" w:hAnsi="Roboto" w:cs="Arial"/>
          <w:bCs/>
        </w:rPr>
        <w:t>2025</w:t>
      </w:r>
      <w:r w:rsidR="008224C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C77E" w14:textId="77777777" w:rsidR="002071C9" w:rsidRDefault="002071C9" w:rsidP="002071C9">
    <w:pPr>
      <w:pStyle w:val="Encabezado"/>
    </w:pPr>
    <w:r>
      <w:rPr>
        <w:noProof/>
      </w:rPr>
      <w:drawing>
        <wp:anchor distT="0" distB="0" distL="114300" distR="114300" simplePos="0" relativeHeight="251664384" behindDoc="1" locked="0" layoutInCell="1" allowOverlap="1" wp14:anchorId="5D1DF035" wp14:editId="0DACCB4E">
          <wp:simplePos x="0" y="0"/>
          <wp:positionH relativeFrom="column">
            <wp:posOffset>-1099185</wp:posOffset>
          </wp:positionH>
          <wp:positionV relativeFrom="paragraph">
            <wp:posOffset>-570230</wp:posOffset>
          </wp:positionV>
          <wp:extent cx="7810500" cy="1055352"/>
          <wp:effectExtent l="0" t="0" r="0" b="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61966" cy="10623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BB0AFB" w14:textId="460DCA75" w:rsidR="009C6139" w:rsidRDefault="009C6139" w:rsidP="009C6139">
    <w:pPr>
      <w:pStyle w:val="Encabezado"/>
      <w:jc w:val="right"/>
    </w:pPr>
  </w:p>
  <w:p w14:paraId="3A6948AB" w14:textId="2155D1BC" w:rsidR="009C6139" w:rsidRDefault="009C61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278B" w14:textId="31194560" w:rsidR="0096789F" w:rsidRDefault="0096789F">
    <w:pPr>
      <w:pStyle w:val="Encabezado"/>
    </w:pPr>
    <w:r>
      <w:rPr>
        <w:noProof/>
      </w:rPr>
      <w:drawing>
        <wp:anchor distT="0" distB="0" distL="114300" distR="114300" simplePos="0" relativeHeight="251666432" behindDoc="1" locked="0" layoutInCell="1" allowOverlap="1" wp14:anchorId="31873271" wp14:editId="68050829">
          <wp:simplePos x="0" y="0"/>
          <wp:positionH relativeFrom="column">
            <wp:posOffset>-1123950</wp:posOffset>
          </wp:positionH>
          <wp:positionV relativeFrom="paragraph">
            <wp:posOffset>-527685</wp:posOffset>
          </wp:positionV>
          <wp:extent cx="7810500" cy="1055352"/>
          <wp:effectExtent l="0" t="0" r="0" b="0"/>
          <wp:wrapNone/>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10500" cy="1055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A27206C"/>
    <w:multiLevelType w:val="hybridMultilevel"/>
    <w:tmpl w:val="720CD29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F7E7D31"/>
    <w:multiLevelType w:val="hybridMultilevel"/>
    <w:tmpl w:val="9CA6F1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FF7C32"/>
    <w:multiLevelType w:val="hybridMultilevel"/>
    <w:tmpl w:val="17DE1DE6"/>
    <w:lvl w:ilvl="0" w:tplc="140A0001">
      <w:start w:val="1"/>
      <w:numFmt w:val="bullet"/>
      <w:lvlText w:val=""/>
      <w:lvlJc w:val="left"/>
      <w:pPr>
        <w:ind w:left="1211" w:hanging="710"/>
      </w:pPr>
      <w:rPr>
        <w:rFonts w:ascii="Symbol" w:hAnsi="Symbol"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5" w15:restartNumberingAfterBreak="0">
    <w:nsid w:val="3C29402C"/>
    <w:multiLevelType w:val="hybridMultilevel"/>
    <w:tmpl w:val="40F4360E"/>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637207"/>
    <w:multiLevelType w:val="hybridMultilevel"/>
    <w:tmpl w:val="C360C1CA"/>
    <w:lvl w:ilvl="0" w:tplc="F9E802EE">
      <w:start w:val="1"/>
      <w:numFmt w:val="decimal"/>
      <w:lvlText w:val="%1."/>
      <w:lvlJc w:val="left"/>
      <w:pPr>
        <w:ind w:left="501" w:hanging="360"/>
      </w:pPr>
      <w:rPr>
        <w:b w:val="0"/>
        <w:bCs/>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63410E2C"/>
    <w:multiLevelType w:val="hybridMultilevel"/>
    <w:tmpl w:val="5D0AC5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34727675">
    <w:abstractNumId w:val="0"/>
  </w:num>
  <w:num w:numId="2" w16cid:durableId="162754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180823">
    <w:abstractNumId w:val="3"/>
  </w:num>
  <w:num w:numId="4" w16cid:durableId="1270695593">
    <w:abstractNumId w:val="1"/>
  </w:num>
  <w:num w:numId="5" w16cid:durableId="2081321263">
    <w:abstractNumId w:val="7"/>
  </w:num>
  <w:num w:numId="6" w16cid:durableId="1920795939">
    <w:abstractNumId w:val="2"/>
  </w:num>
  <w:num w:numId="7" w16cid:durableId="1137913327">
    <w:abstractNumId w:val="5"/>
  </w:num>
  <w:num w:numId="8" w16cid:durableId="1415738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3391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39"/>
    <w:rsid w:val="000456BC"/>
    <w:rsid w:val="001461F3"/>
    <w:rsid w:val="00181DF9"/>
    <w:rsid w:val="001A01A5"/>
    <w:rsid w:val="001A5638"/>
    <w:rsid w:val="002071C9"/>
    <w:rsid w:val="002941F0"/>
    <w:rsid w:val="002B54AF"/>
    <w:rsid w:val="00317E18"/>
    <w:rsid w:val="005F385E"/>
    <w:rsid w:val="00624816"/>
    <w:rsid w:val="006272BC"/>
    <w:rsid w:val="006275FB"/>
    <w:rsid w:val="006774D2"/>
    <w:rsid w:val="008224C9"/>
    <w:rsid w:val="00830429"/>
    <w:rsid w:val="00884ACF"/>
    <w:rsid w:val="00894260"/>
    <w:rsid w:val="008D01EA"/>
    <w:rsid w:val="008D18AF"/>
    <w:rsid w:val="0096789F"/>
    <w:rsid w:val="009C6139"/>
    <w:rsid w:val="00D23EE1"/>
    <w:rsid w:val="00E40CD8"/>
    <w:rsid w:val="00F02051"/>
    <w:rsid w:val="00FB60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A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3EE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paragraph" w:styleId="Ttulo2">
    <w:name w:val="heading 2"/>
    <w:basedOn w:val="Normal"/>
    <w:next w:val="Normal"/>
    <w:link w:val="Ttulo2Car"/>
    <w:qFormat/>
    <w:rsid w:val="00D23EE1"/>
    <w:pPr>
      <w:keepNext/>
      <w:spacing w:after="0" w:line="240" w:lineRule="auto"/>
      <w:ind w:left="708" w:hanging="708"/>
      <w:jc w:val="both"/>
      <w:outlineLvl w:val="1"/>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C613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C6139"/>
    <w:rPr>
      <w:rFonts w:ascii="Times New Roman" w:eastAsia="Times New Roman" w:hAnsi="Times New Roman" w:cs="Times New Roman"/>
      <w:sz w:val="20"/>
      <w:szCs w:val="20"/>
      <w:lang w:val="es-ES" w:eastAsia="es-ES"/>
    </w:rPr>
  </w:style>
  <w:style w:type="character" w:customStyle="1" w:styleId="TextodereglamentoChar">
    <w:name w:val="Texto de reglamento Char"/>
    <w:link w:val="Textodereglamento"/>
    <w:locked/>
    <w:rsid w:val="009C6139"/>
    <w:rPr>
      <w:rFonts w:ascii="Times New Roman" w:eastAsia="Times New Roman" w:hAnsi="Times New Roman" w:cs="Times New Roman"/>
      <w:szCs w:val="24"/>
      <w:lang w:val="es-ES" w:eastAsia="es-ES"/>
    </w:rPr>
  </w:style>
  <w:style w:type="paragraph" w:customStyle="1" w:styleId="Textodereglamento">
    <w:name w:val="Texto de reglamento"/>
    <w:basedOn w:val="Normal"/>
    <w:link w:val="TextodereglamentoChar"/>
    <w:qFormat/>
    <w:rsid w:val="009C6139"/>
    <w:pPr>
      <w:spacing w:before="120" w:after="0" w:line="240" w:lineRule="auto"/>
      <w:jc w:val="both"/>
    </w:pPr>
    <w:rPr>
      <w:rFonts w:ascii="Times New Roman" w:eastAsia="Times New Roman" w:hAnsi="Times New Roman" w:cs="Times New Roman"/>
      <w:szCs w:val="24"/>
      <w:lang w:val="es-ES" w:eastAsia="es-ES"/>
    </w:rPr>
  </w:style>
  <w:style w:type="character" w:styleId="Refdenotaalpie">
    <w:name w:val="footnote reference"/>
    <w:basedOn w:val="Fuentedeprrafopredeter"/>
    <w:uiPriority w:val="99"/>
    <w:semiHidden/>
    <w:unhideWhenUsed/>
    <w:rsid w:val="009C6139"/>
    <w:rPr>
      <w:vertAlign w:val="superscript"/>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9C6139"/>
    <w:pPr>
      <w:spacing w:after="200" w:line="276" w:lineRule="auto"/>
      <w:ind w:left="720"/>
      <w:contextualSpacing/>
    </w:pPr>
    <w:rPr>
      <w:lang w:val="en-U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9C6139"/>
    <w:rPr>
      <w:lang w:val="en-US"/>
    </w:rPr>
  </w:style>
  <w:style w:type="paragraph" w:customStyle="1" w:styleId="Numeracin">
    <w:name w:val="Numeración"/>
    <w:basedOn w:val="Normal"/>
    <w:qFormat/>
    <w:rsid w:val="009C6139"/>
    <w:pPr>
      <w:numPr>
        <w:numId w:val="1"/>
      </w:numPr>
      <w:spacing w:before="120" w:after="0" w:line="240" w:lineRule="auto"/>
      <w:jc w:val="both"/>
    </w:pPr>
    <w:rPr>
      <w:rFonts w:ascii="Times New Roman" w:eastAsia="Times New Roman" w:hAnsi="Times New Roman" w:cs="Times New Roman"/>
      <w:szCs w:val="24"/>
      <w:lang w:val="es-ES" w:eastAsia="es-ES"/>
    </w:rPr>
  </w:style>
  <w:style w:type="paragraph" w:styleId="Encabezado">
    <w:name w:val="header"/>
    <w:basedOn w:val="Normal"/>
    <w:link w:val="EncabezadoCar"/>
    <w:unhideWhenUsed/>
    <w:rsid w:val="009C6139"/>
    <w:pPr>
      <w:tabs>
        <w:tab w:val="center" w:pos="4419"/>
        <w:tab w:val="right" w:pos="8838"/>
      </w:tabs>
      <w:spacing w:after="0" w:line="240" w:lineRule="auto"/>
    </w:pPr>
  </w:style>
  <w:style w:type="character" w:customStyle="1" w:styleId="EncabezadoCar">
    <w:name w:val="Encabezado Car"/>
    <w:basedOn w:val="Fuentedeprrafopredeter"/>
    <w:link w:val="Encabezado"/>
    <w:rsid w:val="009C6139"/>
  </w:style>
  <w:style w:type="paragraph" w:styleId="Piedepgina">
    <w:name w:val="footer"/>
    <w:basedOn w:val="Normal"/>
    <w:link w:val="PiedepginaCar"/>
    <w:uiPriority w:val="99"/>
    <w:unhideWhenUsed/>
    <w:rsid w:val="009C6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139"/>
  </w:style>
  <w:style w:type="character" w:customStyle="1" w:styleId="Ttulo1Car">
    <w:name w:val="Título 1 Car"/>
    <w:basedOn w:val="Fuentedeprrafopredeter"/>
    <w:link w:val="Ttulo1"/>
    <w:uiPriority w:val="9"/>
    <w:rsid w:val="00D23EE1"/>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rsid w:val="00D23EE1"/>
    <w:rPr>
      <w:rFonts w:ascii="Times New Roman" w:eastAsia="Times New Roman" w:hAnsi="Times New Roman" w:cs="Times New Roman"/>
      <w:sz w:val="24"/>
      <w:szCs w:val="20"/>
      <w:lang w:val="es-ES" w:eastAsia="es-ES"/>
    </w:rPr>
  </w:style>
  <w:style w:type="paragraph" w:customStyle="1" w:styleId="CNV">
    <w:name w:val="CNV"/>
    <w:basedOn w:val="Normal"/>
    <w:rsid w:val="00D23EE1"/>
    <w:pPr>
      <w:spacing w:after="0" w:line="240" w:lineRule="auto"/>
      <w:jc w:val="both"/>
    </w:pPr>
    <w:rPr>
      <w:rFonts w:ascii="Times New Roman" w:eastAsia="Times New Roman" w:hAnsi="Times New Roman" w:cs="Times New Roman"/>
      <w:sz w:val="24"/>
      <w:szCs w:val="20"/>
      <w:lang w:val="es-ES_tradnl"/>
    </w:rPr>
  </w:style>
  <w:style w:type="table" w:styleId="Tablaconcuadrcula">
    <w:name w:val="Table Grid"/>
    <w:basedOn w:val="Tablanormal"/>
    <w:uiPriority w:val="39"/>
    <w:rsid w:val="00D2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30429"/>
    <w:pPr>
      <w:spacing w:after="0" w:line="240" w:lineRule="auto"/>
    </w:pPr>
    <w:rPr>
      <w:rFonts w:ascii="Calibri" w:hAnsi="Calibri" w:cs="Calibri"/>
      <w:lang w:eastAsia="es-CR"/>
    </w:rPr>
  </w:style>
  <w:style w:type="paragraph" w:styleId="NormalWeb">
    <w:name w:val="Normal (Web)"/>
    <w:basedOn w:val="Normal"/>
    <w:uiPriority w:val="99"/>
    <w:semiHidden/>
    <w:unhideWhenUsed/>
    <w:rsid w:val="00830429"/>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AE15B028-7CB9-4D3C-9073-923EF693059C}">
  <ds:schemaRefs>
    <ds:schemaRef ds:uri="http://schemas.openxmlformats.org/officeDocument/2006/bibliography"/>
  </ds:schemaRefs>
</ds:datastoreItem>
</file>

<file path=customXml/itemProps2.xml><?xml version="1.0" encoding="utf-8"?>
<ds:datastoreItem xmlns:ds="http://schemas.openxmlformats.org/officeDocument/2006/customXml" ds:itemID="{C9AA729A-2FDB-4856-8503-8272EF4C66D9}"/>
</file>

<file path=customXml/itemProps3.xml><?xml version="1.0" encoding="utf-8"?>
<ds:datastoreItem xmlns:ds="http://schemas.openxmlformats.org/officeDocument/2006/customXml" ds:itemID="{30399EFF-3E9C-4B7A-B7DE-AF2772CC9084}"/>
</file>

<file path=customXml/itemProps4.xml><?xml version="1.0" encoding="utf-8"?>
<ds:datastoreItem xmlns:ds="http://schemas.openxmlformats.org/officeDocument/2006/customXml" ds:itemID="{B9550FC9-560C-4F19-B38F-86AF069C0605}"/>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2025-06-25T17:06:00Z</dcterms:created>
  <dcterms:modified xsi:type="dcterms:W3CDTF">2025-06-25T17:11:00Z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bfdf3d7,471e1444,403c043e</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2025-06-25T17:06:43Z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a87c28e1-a78d-479b-bb03-7883b2663695</vt:lpwstr>
  </property>
  <property fmtid="{D5CDD505-2E9C-101B-9397-08002B2CF9AE}" pid="11" name="MSIP_Label_b8b4be34-365a-4a68-b9fb-75c1b6874315_ContentBits">
    <vt:lpwstr>2</vt:lpwstr>
  </property>
  <property fmtid="{D5CDD505-2E9C-101B-9397-08002B2CF9AE}" pid="12" name="MSIP_Label_b8b4be34-365a-4a68-b9fb-75c1b6874315_Tag">
    <vt:lpwstr>10, 3, 0, 1</vt:lpwstr>
  </property>
  <property fmtid="{D5CDD505-2E9C-101B-9397-08002B2CF9AE}" pid="13" name="ContentTypeId">
    <vt:lpwstr>0x010100C66477CF232ACD46B93353E93693837C</vt:lpwstr>
  </property>
</Properties>
</file>