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84" w:rsidRDefault="00F54184" w:rsidP="00F866E6">
      <w:pPr>
        <w:pStyle w:val="Textoindependiente3"/>
        <w:rPr>
          <w:rFonts w:ascii="Garamond (PCL6)" w:hAnsi="Garamond (PCL6)"/>
          <w:b/>
          <w:bCs/>
          <w:i/>
          <w:iCs/>
          <w:noProof/>
          <w:sz w:val="36"/>
        </w:rPr>
      </w:pPr>
      <w:r w:rsidRPr="00AD1DFE">
        <w:rPr>
          <w:rFonts w:cs="Arial"/>
          <w:b/>
          <w:bCs/>
          <w:iCs/>
          <w:noProof/>
          <w:szCs w:val="24"/>
          <w:lang w:val="es-MX"/>
        </w:rPr>
        <w:t>SGV-A-91.  REFORMA AL ACUERDO SGV-A-19 INSTRUCCIONES PARA EL CUMPLIMIENTO DE LA OBLIGACIÓN DE COMUNICACIÓN A QUE SE REFIERE EL ARTÍCULO 34 DE LEY NO. 7732</w:t>
      </w:r>
      <w:r w:rsidRPr="008F25CC">
        <w:rPr>
          <w:rFonts w:ascii="Garamond (PCL6)" w:hAnsi="Garamond (PCL6)"/>
          <w:b/>
          <w:bCs/>
          <w:iCs/>
          <w:noProof/>
          <w:sz w:val="36"/>
        </w:rPr>
        <w:t xml:space="preserve"> </w:t>
      </w:r>
      <w:r w:rsidRPr="008F25CC">
        <w:rPr>
          <w:rStyle w:val="Refdenotaalpie"/>
          <w:rFonts w:cs="Arial"/>
          <w:b/>
          <w:bCs/>
          <w:iCs/>
          <w:noProof/>
          <w:sz w:val="20"/>
        </w:rPr>
        <w:footnoteReference w:id="1"/>
      </w:r>
    </w:p>
    <w:p w:rsidR="00F866E6" w:rsidRDefault="00F866E6" w:rsidP="00F866E6">
      <w:pPr>
        <w:pStyle w:val="Textoindependiente3"/>
        <w:rPr>
          <w:rFonts w:ascii="Garamond (PCL6)" w:hAnsi="Garamond (PCL6)"/>
          <w:b/>
          <w:bCs/>
          <w:i/>
          <w:iCs/>
          <w:noProof/>
          <w:sz w:val="36"/>
        </w:rPr>
      </w:pPr>
    </w:p>
    <w:p w:rsidR="00F866E6" w:rsidRPr="00F866E6" w:rsidRDefault="00F82966" w:rsidP="00F866E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866E6">
        <w:rPr>
          <w:rFonts w:ascii="Arial" w:hAnsi="Arial" w:cs="Arial"/>
          <w:b/>
          <w:sz w:val="22"/>
          <w:szCs w:val="22"/>
          <w:lang w:val="es-ES_tradnl"/>
        </w:rPr>
        <w:t>Considerando</w:t>
      </w:r>
    </w:p>
    <w:p w:rsidR="00F54184" w:rsidRDefault="00F54184">
      <w:pPr>
        <w:tabs>
          <w:tab w:val="left" w:pos="0"/>
        </w:tabs>
        <w:ind w:left="-360" w:right="-354"/>
        <w:jc w:val="both"/>
        <w:rPr>
          <w:rFonts w:ascii="Century Gothic" w:hAnsi="Century Gothic" w:cs="Tahoma"/>
          <w:bCs/>
          <w:iCs/>
          <w:sz w:val="22"/>
          <w:szCs w:val="20"/>
          <w:lang w:val="es-CR"/>
        </w:rPr>
      </w:pPr>
    </w:p>
    <w:p w:rsidR="00F54184" w:rsidRPr="00F866E6" w:rsidRDefault="00F54184">
      <w:pPr>
        <w:numPr>
          <w:ilvl w:val="0"/>
          <w:numId w:val="1"/>
        </w:numPr>
        <w:tabs>
          <w:tab w:val="clear" w:pos="720"/>
          <w:tab w:val="num" w:pos="0"/>
        </w:tabs>
        <w:ind w:left="0" w:right="-354" w:firstLine="0"/>
        <w:jc w:val="both"/>
        <w:rPr>
          <w:rFonts w:ascii="Arial" w:hAnsi="Arial" w:cs="Arial"/>
          <w:sz w:val="22"/>
          <w:lang w:val="es-CR"/>
        </w:rPr>
      </w:pPr>
      <w:r w:rsidRPr="00F866E6">
        <w:rPr>
          <w:rFonts w:ascii="Arial" w:hAnsi="Arial" w:cs="Arial"/>
          <w:sz w:val="22"/>
          <w:lang w:val="es-CR"/>
        </w:rPr>
        <w:t>Que por artículo 13 del Acta 81-99 de la sesión del 18 de marzo de 1999 el Consejo Nacional de Supervisión del Sistema Financiero aprobó el Reglamento sobre el suministro de información periódica, hechos relevantes y otras obligaciones de información.</w:t>
      </w:r>
    </w:p>
    <w:p w:rsidR="00F54184" w:rsidRPr="00F866E6" w:rsidRDefault="00F54184">
      <w:pPr>
        <w:tabs>
          <w:tab w:val="num" w:pos="0"/>
        </w:tabs>
        <w:ind w:right="-354"/>
        <w:jc w:val="both"/>
        <w:rPr>
          <w:rFonts w:ascii="Arial" w:hAnsi="Arial" w:cs="Arial"/>
          <w:sz w:val="22"/>
          <w:lang w:val="es-CR"/>
        </w:rPr>
      </w:pPr>
    </w:p>
    <w:p w:rsidR="00F54184" w:rsidRPr="00F866E6" w:rsidRDefault="00F54184">
      <w:pPr>
        <w:numPr>
          <w:ilvl w:val="0"/>
          <w:numId w:val="1"/>
        </w:numPr>
        <w:tabs>
          <w:tab w:val="clear" w:pos="720"/>
          <w:tab w:val="num" w:pos="0"/>
        </w:tabs>
        <w:ind w:left="0" w:right="-354" w:firstLine="0"/>
        <w:jc w:val="both"/>
        <w:rPr>
          <w:rFonts w:ascii="Arial" w:hAnsi="Arial" w:cs="Arial"/>
          <w:sz w:val="22"/>
          <w:lang w:val="es-CR"/>
        </w:rPr>
      </w:pPr>
      <w:r w:rsidRPr="00F866E6">
        <w:rPr>
          <w:rFonts w:ascii="Arial" w:hAnsi="Arial" w:cs="Arial"/>
          <w:sz w:val="22"/>
          <w:lang w:val="es-CR"/>
        </w:rPr>
        <w:t>Que de conformidad con el artículo 17 de dicho Reglamento corresponde al Superintendente fijar los plazos para el cumplimiento de las obligaciones contenidas en los artículos 34 y 35 de la Ley Reguladora del Mercado de Valores.</w:t>
      </w:r>
    </w:p>
    <w:p w:rsidR="00F54184" w:rsidRPr="00F866E6" w:rsidRDefault="00F54184">
      <w:pPr>
        <w:tabs>
          <w:tab w:val="num" w:pos="0"/>
          <w:tab w:val="num" w:pos="360"/>
        </w:tabs>
        <w:ind w:right="-354"/>
        <w:jc w:val="both"/>
        <w:rPr>
          <w:rFonts w:ascii="Arial" w:hAnsi="Arial" w:cs="Arial"/>
          <w:sz w:val="22"/>
          <w:lang w:val="es-CR"/>
        </w:rPr>
      </w:pPr>
    </w:p>
    <w:p w:rsidR="00F54184" w:rsidRPr="00F866E6" w:rsidRDefault="00F54184">
      <w:pPr>
        <w:numPr>
          <w:ilvl w:val="0"/>
          <w:numId w:val="1"/>
        </w:numPr>
        <w:tabs>
          <w:tab w:val="clear" w:pos="720"/>
          <w:tab w:val="num" w:pos="0"/>
        </w:tabs>
        <w:ind w:left="0" w:right="-354" w:firstLine="0"/>
        <w:jc w:val="both"/>
        <w:rPr>
          <w:rFonts w:ascii="Arial" w:hAnsi="Arial" w:cs="Arial"/>
          <w:sz w:val="22"/>
          <w:lang w:val="es-CR"/>
        </w:rPr>
      </w:pPr>
      <w:r w:rsidRPr="00F866E6">
        <w:rPr>
          <w:rFonts w:ascii="Arial" w:hAnsi="Arial" w:cs="Arial"/>
          <w:sz w:val="22"/>
          <w:lang w:val="es-CR"/>
        </w:rPr>
        <w:t>Que de conformidad con el inciso b) del artículo 8 de esa misma Ley corresponde al Superintendente adoptar todas las acciones necesarias para el cumplimiento efectivo de las funciones de regulación, supervisión y fiscalización que le competen a la Superintendencia de conformidad con lo dispuesto en esa ley.</w:t>
      </w:r>
    </w:p>
    <w:p w:rsidR="00F54184" w:rsidRPr="00F866E6" w:rsidRDefault="00F54184">
      <w:pPr>
        <w:tabs>
          <w:tab w:val="num" w:pos="0"/>
          <w:tab w:val="num" w:pos="540"/>
        </w:tabs>
        <w:ind w:right="-354"/>
        <w:jc w:val="both"/>
        <w:rPr>
          <w:rFonts w:ascii="Arial" w:hAnsi="Arial" w:cs="Arial"/>
          <w:sz w:val="22"/>
          <w:lang w:val="es-CR"/>
        </w:rPr>
      </w:pPr>
    </w:p>
    <w:p w:rsidR="00F54184" w:rsidRPr="00F866E6" w:rsidRDefault="00F54184">
      <w:pPr>
        <w:numPr>
          <w:ilvl w:val="0"/>
          <w:numId w:val="1"/>
        </w:numPr>
        <w:tabs>
          <w:tab w:val="clear" w:pos="720"/>
          <w:tab w:val="num" w:pos="0"/>
        </w:tabs>
        <w:ind w:left="0" w:right="-354" w:firstLine="0"/>
        <w:jc w:val="both"/>
        <w:rPr>
          <w:rFonts w:ascii="Arial" w:hAnsi="Arial" w:cs="Arial"/>
          <w:sz w:val="22"/>
          <w:lang w:val="es-CR"/>
        </w:rPr>
      </w:pPr>
      <w:r w:rsidRPr="00F866E6">
        <w:rPr>
          <w:rFonts w:ascii="Arial" w:hAnsi="Arial" w:cs="Arial"/>
          <w:sz w:val="22"/>
          <w:lang w:val="es-CR"/>
        </w:rPr>
        <w:t xml:space="preserve">Que la información relativa a las participaciones accionarias significativas es un factor importante para la toma de decisiones de los inversionistas, por las implicaciones que tiene desde el punto de vista de control societario. Por </w:t>
      </w:r>
      <w:proofErr w:type="gramStart"/>
      <w:r w:rsidRPr="00F866E6">
        <w:rPr>
          <w:rFonts w:ascii="Arial" w:hAnsi="Arial" w:cs="Arial"/>
          <w:sz w:val="22"/>
          <w:lang w:val="es-CR"/>
        </w:rPr>
        <w:t>ende</w:t>
      </w:r>
      <w:proofErr w:type="gramEnd"/>
      <w:r w:rsidRPr="00F866E6">
        <w:rPr>
          <w:rFonts w:ascii="Arial" w:hAnsi="Arial" w:cs="Arial"/>
          <w:sz w:val="22"/>
          <w:lang w:val="es-CR"/>
        </w:rPr>
        <w:t xml:space="preserve"> debe estar disponible al público; y asentada en Registro Nacional de Valores e Intermediarios para cumplir con el requerimiento de la ley. </w:t>
      </w:r>
    </w:p>
    <w:p w:rsidR="00F54184" w:rsidRPr="00F866E6" w:rsidRDefault="00F54184">
      <w:pPr>
        <w:tabs>
          <w:tab w:val="num" w:pos="0"/>
        </w:tabs>
        <w:ind w:right="-354"/>
        <w:jc w:val="both"/>
        <w:rPr>
          <w:rFonts w:ascii="Arial" w:hAnsi="Arial" w:cs="Arial"/>
          <w:sz w:val="22"/>
          <w:lang w:val="es-CR"/>
        </w:rPr>
      </w:pPr>
    </w:p>
    <w:p w:rsidR="00F866E6" w:rsidRDefault="00F54184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b/>
          <w:bCs/>
          <w:szCs w:val="24"/>
          <w:lang w:val="es-CR"/>
        </w:rPr>
      </w:pPr>
      <w:r>
        <w:rPr>
          <w:rFonts w:ascii="Century Gothic" w:hAnsi="Century Gothic" w:cs="Tahoma"/>
          <w:b/>
          <w:bCs/>
          <w:szCs w:val="24"/>
          <w:lang w:val="es-CR"/>
        </w:rPr>
        <w:t xml:space="preserve">Por </w:t>
      </w:r>
      <w:proofErr w:type="gramStart"/>
      <w:r>
        <w:rPr>
          <w:rFonts w:ascii="Century Gothic" w:hAnsi="Century Gothic" w:cs="Tahoma"/>
          <w:b/>
          <w:bCs/>
          <w:szCs w:val="24"/>
          <w:lang w:val="es-CR"/>
        </w:rPr>
        <w:t>tanto</w:t>
      </w:r>
      <w:proofErr w:type="gramEnd"/>
      <w:r>
        <w:rPr>
          <w:rFonts w:ascii="Century Gothic" w:hAnsi="Century Gothic" w:cs="Tahoma"/>
          <w:b/>
          <w:bCs/>
          <w:szCs w:val="24"/>
          <w:lang w:val="es-CR"/>
        </w:rPr>
        <w:t xml:space="preserve"> dispone el presente acuerdo:</w:t>
      </w:r>
    </w:p>
    <w:p w:rsidR="00F54184" w:rsidRDefault="00F54184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8F25CC" w:rsidRDefault="008F25CC">
      <w:pPr>
        <w:pStyle w:val="Carta"/>
        <w:tabs>
          <w:tab w:val="num" w:pos="0"/>
          <w:tab w:val="num" w:pos="540"/>
        </w:tabs>
        <w:spacing w:after="0" w:line="240" w:lineRule="auto"/>
        <w:ind w:right="-354"/>
        <w:rPr>
          <w:rFonts w:ascii="Century Gothic" w:hAnsi="Century Gothic" w:cs="Tahoma"/>
          <w:szCs w:val="24"/>
          <w:lang w:val="es-CR"/>
        </w:rPr>
      </w:pPr>
    </w:p>
    <w:p w:rsidR="00F54184" w:rsidRPr="00F866E6" w:rsidRDefault="00F54184">
      <w:pPr>
        <w:tabs>
          <w:tab w:val="num" w:pos="0"/>
        </w:tabs>
        <w:ind w:right="-354"/>
        <w:jc w:val="center"/>
        <w:rPr>
          <w:rFonts w:ascii="Arial" w:hAnsi="Arial" w:cs="Arial"/>
          <w:b/>
          <w:bCs/>
          <w:iCs/>
          <w:caps/>
          <w:sz w:val="22"/>
          <w:szCs w:val="20"/>
          <w:lang w:val="es-CR"/>
        </w:rPr>
      </w:pPr>
      <w:r w:rsidRPr="00F866E6">
        <w:rPr>
          <w:rFonts w:ascii="Arial" w:hAnsi="Arial" w:cs="Arial"/>
          <w:b/>
          <w:bCs/>
          <w:caps/>
          <w:sz w:val="22"/>
          <w:lang w:val="es-CR"/>
        </w:rPr>
        <w:t xml:space="preserve">SGV-A-91.  REFORMA AL ACUERDO </w:t>
      </w:r>
      <w:r w:rsidRPr="00F866E6">
        <w:rPr>
          <w:rFonts w:ascii="Arial" w:hAnsi="Arial" w:cs="Arial"/>
          <w:b/>
          <w:bCs/>
          <w:iCs/>
          <w:caps/>
          <w:sz w:val="22"/>
          <w:szCs w:val="20"/>
          <w:lang w:val="es-CR"/>
        </w:rPr>
        <w:t>SGV-A-19 Instrucciones para el cumplimiento de la obligación de comunicación a que se refiere el artículo 34 de Ley No. 7732</w:t>
      </w:r>
    </w:p>
    <w:p w:rsidR="00F54184" w:rsidRPr="00F866E6" w:rsidRDefault="00F54184">
      <w:pPr>
        <w:tabs>
          <w:tab w:val="num" w:pos="0"/>
        </w:tabs>
        <w:ind w:right="-354"/>
        <w:jc w:val="center"/>
        <w:rPr>
          <w:rFonts w:ascii="Arial" w:hAnsi="Arial" w:cs="Arial"/>
          <w:b/>
          <w:bCs/>
          <w:iCs/>
          <w:caps/>
          <w:sz w:val="22"/>
          <w:szCs w:val="20"/>
          <w:lang w:val="es-CR"/>
        </w:rPr>
      </w:pPr>
    </w:p>
    <w:p w:rsidR="00F54184" w:rsidRPr="00F866E6" w:rsidRDefault="00F54184">
      <w:pPr>
        <w:tabs>
          <w:tab w:val="num" w:pos="0"/>
        </w:tabs>
        <w:ind w:right="-354"/>
        <w:jc w:val="center"/>
        <w:rPr>
          <w:rFonts w:ascii="Arial" w:hAnsi="Arial" w:cs="Arial"/>
          <w:b/>
          <w:bCs/>
          <w:iCs/>
          <w:caps/>
          <w:sz w:val="22"/>
          <w:szCs w:val="20"/>
          <w:lang w:val="es-CR"/>
        </w:rPr>
      </w:pPr>
    </w:p>
    <w:p w:rsidR="00F866E6" w:rsidRPr="00F866E6" w:rsidRDefault="00F866E6" w:rsidP="00F866E6">
      <w:pPr>
        <w:tabs>
          <w:tab w:val="num" w:pos="0"/>
        </w:tabs>
        <w:ind w:right="-354"/>
        <w:jc w:val="both"/>
        <w:rPr>
          <w:rFonts w:ascii="Arial" w:hAnsi="Arial" w:cs="Arial"/>
          <w:b/>
          <w:sz w:val="22"/>
          <w:lang w:val="es-CR"/>
        </w:rPr>
      </w:pPr>
      <w:r w:rsidRPr="00F866E6">
        <w:rPr>
          <w:rFonts w:ascii="Arial" w:hAnsi="Arial" w:cs="Arial"/>
          <w:b/>
          <w:sz w:val="22"/>
          <w:lang w:val="es-CR"/>
        </w:rPr>
        <w:t>Artículo 1. Modificar el inciso d) y adicionar el inciso h) al punto 6 para que en adelante se lea así:</w:t>
      </w:r>
    </w:p>
    <w:p w:rsidR="00F54184" w:rsidRPr="00F866E6" w:rsidRDefault="00F54184">
      <w:pPr>
        <w:tabs>
          <w:tab w:val="num" w:pos="0"/>
        </w:tabs>
        <w:ind w:right="-354"/>
        <w:jc w:val="center"/>
        <w:rPr>
          <w:rFonts w:ascii="Arial" w:hAnsi="Arial" w:cs="Arial"/>
          <w:b/>
          <w:bCs/>
          <w:sz w:val="22"/>
          <w:lang w:val="es-CR"/>
        </w:rPr>
      </w:pPr>
    </w:p>
    <w:p w:rsidR="00F54184" w:rsidRPr="00F866E6" w:rsidRDefault="00F54184">
      <w:pPr>
        <w:tabs>
          <w:tab w:val="num" w:pos="0"/>
        </w:tabs>
        <w:ind w:right="-354"/>
        <w:jc w:val="both"/>
        <w:rPr>
          <w:rFonts w:ascii="Arial" w:hAnsi="Arial" w:cs="Arial"/>
          <w:b/>
          <w:sz w:val="22"/>
          <w:lang w:val="es-CR"/>
        </w:rPr>
      </w:pPr>
    </w:p>
    <w:p w:rsidR="00F54184" w:rsidRPr="00F866E6" w:rsidRDefault="00F54184">
      <w:pPr>
        <w:numPr>
          <w:ilvl w:val="0"/>
          <w:numId w:val="3"/>
        </w:numPr>
        <w:tabs>
          <w:tab w:val="clear" w:pos="360"/>
          <w:tab w:val="num" w:pos="0"/>
        </w:tabs>
        <w:ind w:left="0" w:right="-354" w:firstLine="0"/>
        <w:jc w:val="both"/>
        <w:rPr>
          <w:rFonts w:ascii="Arial" w:hAnsi="Arial" w:cs="Arial"/>
          <w:sz w:val="22"/>
          <w:lang w:val="es-CR"/>
        </w:rPr>
      </w:pPr>
      <w:r w:rsidRPr="00F866E6">
        <w:rPr>
          <w:rFonts w:ascii="Arial" w:hAnsi="Arial" w:cs="Arial"/>
          <w:sz w:val="22"/>
          <w:lang w:val="es-CR"/>
        </w:rPr>
        <w:t>Tipo de valores adquiridos: a) acciones, b) obligaciones convertibles en acciones, c) acciones preferidas convertibles en acciones comunes, d) acciones preferentes con derecho a voto, d) opciones de compra de acciones, e) derechos fiduciarios que impliquen la obtención de acciones, f) otro tipo de valores que puedan dar derecho a la suscripción de acciones y g) fecha de la transacción.</w:t>
      </w:r>
    </w:p>
    <w:p w:rsidR="00F54184" w:rsidRPr="00F866E6" w:rsidRDefault="00F54184">
      <w:pPr>
        <w:pStyle w:val="Carta"/>
        <w:tabs>
          <w:tab w:val="num" w:pos="0"/>
        </w:tabs>
        <w:spacing w:after="0" w:line="240" w:lineRule="auto"/>
        <w:ind w:right="-354"/>
        <w:rPr>
          <w:rFonts w:ascii="Arial" w:hAnsi="Arial" w:cs="Arial"/>
          <w:szCs w:val="24"/>
          <w:lang w:val="es-CR"/>
        </w:rPr>
      </w:pPr>
    </w:p>
    <w:p w:rsidR="00F54184" w:rsidRPr="00F866E6" w:rsidRDefault="00F54184">
      <w:pPr>
        <w:pStyle w:val="Textodebloque"/>
        <w:numPr>
          <w:ilvl w:val="0"/>
          <w:numId w:val="5"/>
        </w:numPr>
        <w:tabs>
          <w:tab w:val="clear" w:pos="720"/>
          <w:tab w:val="num" w:pos="0"/>
        </w:tabs>
        <w:ind w:left="0" w:right="-354" w:firstLine="0"/>
        <w:rPr>
          <w:rFonts w:ascii="Arial" w:hAnsi="Arial" w:cs="Arial"/>
          <w:sz w:val="22"/>
        </w:rPr>
      </w:pPr>
      <w:r w:rsidRPr="00F866E6">
        <w:rPr>
          <w:rFonts w:ascii="Arial" w:hAnsi="Arial" w:cs="Arial"/>
          <w:sz w:val="22"/>
        </w:rPr>
        <w:t>Cantidad de acciones y monto total de la transacción, así como cantidad acumulada de acciones después de la transacción.</w:t>
      </w:r>
    </w:p>
    <w:p w:rsidR="00F54184" w:rsidRPr="00F866E6" w:rsidRDefault="00F54184">
      <w:pPr>
        <w:pStyle w:val="Textodebloque"/>
        <w:tabs>
          <w:tab w:val="num" w:pos="0"/>
        </w:tabs>
        <w:ind w:left="0" w:right="-354" w:firstLine="0"/>
        <w:rPr>
          <w:rFonts w:ascii="Arial" w:hAnsi="Arial" w:cs="Arial"/>
          <w:sz w:val="22"/>
        </w:rPr>
      </w:pPr>
    </w:p>
    <w:p w:rsidR="00F54184" w:rsidRPr="00F866E6" w:rsidRDefault="00F54184">
      <w:pPr>
        <w:pStyle w:val="Textodebloque"/>
        <w:tabs>
          <w:tab w:val="num" w:pos="0"/>
        </w:tabs>
        <w:ind w:left="0" w:right="-354" w:firstLine="0"/>
        <w:rPr>
          <w:rFonts w:ascii="Arial" w:hAnsi="Arial" w:cs="Arial"/>
          <w:sz w:val="22"/>
        </w:rPr>
      </w:pPr>
      <w:r w:rsidRPr="00F866E6">
        <w:rPr>
          <w:rFonts w:ascii="Arial" w:hAnsi="Arial" w:cs="Arial"/>
          <w:sz w:val="22"/>
        </w:rPr>
        <w:t>La información solicitada deberá enviarse únicamente en el formulario adjunto, acompañado de una nota de remisión (Anexo 1).</w:t>
      </w:r>
    </w:p>
    <w:p w:rsidR="00F54184" w:rsidRPr="00F866E6" w:rsidRDefault="00F54184">
      <w:pPr>
        <w:tabs>
          <w:tab w:val="num" w:pos="0"/>
        </w:tabs>
        <w:ind w:right="-354"/>
        <w:jc w:val="both"/>
        <w:rPr>
          <w:rFonts w:ascii="Arial" w:hAnsi="Arial" w:cs="Arial"/>
          <w:b/>
          <w:sz w:val="22"/>
          <w:lang w:val="es-CR"/>
        </w:rPr>
      </w:pPr>
    </w:p>
    <w:p w:rsidR="00F866E6" w:rsidRPr="00F866E6" w:rsidRDefault="00F866E6" w:rsidP="00F866E6">
      <w:pPr>
        <w:pStyle w:val="Ttulo1"/>
        <w:rPr>
          <w:rFonts w:ascii="Arial" w:hAnsi="Arial" w:cs="Arial"/>
          <w:bCs/>
          <w:color w:val="auto"/>
          <w:lang w:val="es-ES_tradnl"/>
        </w:rPr>
      </w:pPr>
      <w:r w:rsidRPr="00F866E6">
        <w:rPr>
          <w:rFonts w:ascii="Arial" w:hAnsi="Arial" w:cs="Arial"/>
          <w:bCs/>
          <w:color w:val="auto"/>
          <w:sz w:val="22"/>
        </w:rPr>
        <w:t>Artículo 2. Rige a partir del 19 de julio del 2004.</w:t>
      </w:r>
    </w:p>
    <w:p w:rsidR="00F54184" w:rsidRPr="00F866E6" w:rsidRDefault="00F54184">
      <w:pPr>
        <w:tabs>
          <w:tab w:val="num" w:pos="0"/>
        </w:tabs>
        <w:ind w:right="-354"/>
        <w:jc w:val="both"/>
        <w:rPr>
          <w:rFonts w:ascii="Arial" w:hAnsi="Arial" w:cs="Arial"/>
          <w:bCs/>
          <w:sz w:val="22"/>
          <w:lang w:val="es-ES_tradnl"/>
        </w:rPr>
      </w:pPr>
    </w:p>
    <w:p w:rsidR="00F54184" w:rsidRDefault="008F25CC">
      <w:pPr>
        <w:ind w:left="360" w:right="-714" w:hanging="360"/>
        <w:jc w:val="center"/>
        <w:rPr>
          <w:rFonts w:ascii="Century Gothic" w:hAnsi="Century Gothic" w:cs="Tahoma"/>
          <w:b/>
          <w:sz w:val="22"/>
          <w:lang w:val="es-CR"/>
        </w:rPr>
      </w:pPr>
      <w:r>
        <w:rPr>
          <w:rFonts w:ascii="Arial" w:hAnsi="Arial" w:cs="Arial"/>
          <w:b/>
          <w:sz w:val="22"/>
          <w:lang w:val="es-CR"/>
        </w:rPr>
        <w:br w:type="page"/>
      </w:r>
      <w:r w:rsidR="00F54184" w:rsidRPr="00F866E6">
        <w:rPr>
          <w:rFonts w:ascii="Arial" w:hAnsi="Arial" w:cs="Arial"/>
          <w:b/>
          <w:sz w:val="22"/>
          <w:lang w:val="es-CR"/>
        </w:rPr>
        <w:t>Anex</w:t>
      </w:r>
      <w:r w:rsidR="00F54184">
        <w:rPr>
          <w:rFonts w:ascii="Century Gothic" w:hAnsi="Century Gothic" w:cs="Tahoma"/>
          <w:b/>
          <w:sz w:val="22"/>
          <w:lang w:val="es-CR"/>
        </w:rPr>
        <w:t>o 1</w:t>
      </w:r>
    </w:p>
    <w:p w:rsidR="00F866E6" w:rsidRDefault="00F866E6">
      <w:pPr>
        <w:ind w:left="360" w:right="-714" w:hanging="360"/>
        <w:jc w:val="center"/>
        <w:rPr>
          <w:lang w:val="es-CR"/>
        </w:rPr>
      </w:pPr>
    </w:p>
    <w:p w:rsidR="00F866E6" w:rsidRDefault="000E2355">
      <w:pPr>
        <w:ind w:left="360" w:right="-714" w:hanging="360"/>
        <w:jc w:val="center"/>
        <w:rPr>
          <w:lang w:val="es-CR"/>
        </w:rPr>
      </w:pPr>
      <w:r>
        <w:rPr>
          <w:noProof/>
          <w:lang w:val="es-CR"/>
        </w:rPr>
        <w:drawing>
          <wp:inline distT="0" distB="0" distL="0" distR="0">
            <wp:extent cx="3689350" cy="4845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6E6" w:rsidSect="008F25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985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05" w:rsidRDefault="00771C05">
      <w:r>
        <w:separator/>
      </w:r>
    </w:p>
  </w:endnote>
  <w:endnote w:type="continuationSeparator" w:id="0">
    <w:p w:rsidR="00771C05" w:rsidRDefault="0077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(PCL6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CC" w:rsidRDefault="008F25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CC" w:rsidRPr="008F25CC" w:rsidRDefault="008F25CC" w:rsidP="008F25CC">
    <w:pPr>
      <w:pStyle w:val="Piedepgina"/>
      <w:pBdr>
        <w:top w:val="single" w:sz="4" w:space="1" w:color="D9D9D9"/>
      </w:pBdr>
      <w:rPr>
        <w:rFonts w:ascii="Arial" w:hAnsi="Arial" w:cs="Arial"/>
        <w:b/>
        <w:bCs/>
        <w:color w:val="1B75BB"/>
        <w:sz w:val="22"/>
        <w:szCs w:val="22"/>
      </w:rPr>
    </w:pPr>
    <w:r w:rsidRPr="008F25CC">
      <w:rPr>
        <w:rFonts w:ascii="Arial" w:hAnsi="Arial" w:cs="Arial"/>
        <w:color w:val="1B75BB"/>
        <w:sz w:val="22"/>
        <w:szCs w:val="22"/>
      </w:rPr>
      <w:fldChar w:fldCharType="begin"/>
    </w:r>
    <w:r w:rsidRPr="008F25CC">
      <w:rPr>
        <w:rFonts w:ascii="Arial" w:hAnsi="Arial" w:cs="Arial"/>
        <w:color w:val="1B75BB"/>
        <w:sz w:val="22"/>
        <w:szCs w:val="22"/>
      </w:rPr>
      <w:instrText xml:space="preserve"> PAGE   \* MERGEFORMAT </w:instrText>
    </w:r>
    <w:r w:rsidRPr="008F25CC">
      <w:rPr>
        <w:rFonts w:ascii="Arial" w:hAnsi="Arial" w:cs="Arial"/>
        <w:color w:val="1B75BB"/>
        <w:sz w:val="22"/>
        <w:szCs w:val="22"/>
      </w:rPr>
      <w:fldChar w:fldCharType="separate"/>
    </w:r>
    <w:r w:rsidRPr="008F25CC">
      <w:rPr>
        <w:rFonts w:ascii="Arial" w:hAnsi="Arial" w:cs="Arial"/>
        <w:color w:val="1B75BB"/>
        <w:sz w:val="22"/>
        <w:szCs w:val="22"/>
      </w:rPr>
      <w:t>1</w:t>
    </w:r>
    <w:r w:rsidRPr="008F25CC">
      <w:rPr>
        <w:rFonts w:ascii="Arial" w:hAnsi="Arial" w:cs="Arial"/>
        <w:b/>
        <w:bCs/>
        <w:noProof/>
        <w:color w:val="1B75BB"/>
        <w:sz w:val="22"/>
        <w:szCs w:val="22"/>
      </w:rPr>
      <w:fldChar w:fldCharType="end"/>
    </w:r>
    <w:r w:rsidRPr="008F25CC">
      <w:rPr>
        <w:rFonts w:ascii="Arial" w:hAnsi="Arial" w:cs="Arial"/>
        <w:b/>
        <w:bCs/>
        <w:color w:val="1B75BB"/>
        <w:sz w:val="22"/>
        <w:szCs w:val="22"/>
      </w:rPr>
      <w:t xml:space="preserve"> | </w:t>
    </w:r>
  </w:p>
  <w:p w:rsidR="008F25CC" w:rsidRDefault="008F25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CC" w:rsidRDefault="008F2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05" w:rsidRDefault="00771C05">
      <w:r>
        <w:separator/>
      </w:r>
    </w:p>
  </w:footnote>
  <w:footnote w:type="continuationSeparator" w:id="0">
    <w:p w:rsidR="00771C05" w:rsidRDefault="00771C05">
      <w:r>
        <w:continuationSeparator/>
      </w:r>
    </w:p>
  </w:footnote>
  <w:footnote w:id="1">
    <w:p w:rsidR="00F54184" w:rsidRPr="001D02D0" w:rsidRDefault="00F54184">
      <w:pPr>
        <w:tabs>
          <w:tab w:val="left" w:pos="540"/>
        </w:tabs>
        <w:ind w:left="-360" w:right="-354"/>
        <w:jc w:val="both"/>
        <w:rPr>
          <w:rFonts w:ascii="Century Gothic" w:hAnsi="Century Gothic" w:cs="Tahoma"/>
          <w:bCs/>
          <w:iCs/>
          <w:sz w:val="20"/>
          <w:szCs w:val="20"/>
          <w:lang w:val="es-CR"/>
        </w:rPr>
      </w:pPr>
      <w:r>
        <w:rPr>
          <w:rStyle w:val="Refdenotaalpie"/>
        </w:rPr>
        <w:footnoteRef/>
      </w:r>
      <w:r>
        <w:rPr>
          <w:lang w:val="es-CR"/>
        </w:rPr>
        <w:t xml:space="preserve"> </w:t>
      </w:r>
      <w:r w:rsidRPr="00F866E6">
        <w:rPr>
          <w:rFonts w:ascii="Arial" w:hAnsi="Arial" w:cs="Arial"/>
          <w:bCs/>
          <w:iCs/>
          <w:sz w:val="20"/>
          <w:szCs w:val="20"/>
          <w:lang w:val="es-CR"/>
        </w:rPr>
        <w:t>Superintendencia General de Valores.  Despacho del Superintendente.  A las once horas del trece de julio del dos mil cuatro.</w:t>
      </w:r>
      <w:r w:rsidR="001D02D0" w:rsidRPr="00F866E6">
        <w:rPr>
          <w:rFonts w:ascii="Arial" w:hAnsi="Arial" w:cs="Arial"/>
          <w:bCs/>
          <w:iCs/>
          <w:sz w:val="20"/>
          <w:szCs w:val="20"/>
          <w:lang w:val="es-CR"/>
        </w:rPr>
        <w:t xml:space="preserve"> Publicado en La Gaceta Oficial No. 172</w:t>
      </w:r>
      <w:r w:rsidR="00EB47F6" w:rsidRPr="00F866E6">
        <w:rPr>
          <w:rFonts w:ascii="Arial" w:hAnsi="Arial" w:cs="Arial"/>
          <w:bCs/>
          <w:iCs/>
          <w:sz w:val="20"/>
          <w:szCs w:val="20"/>
          <w:lang w:val="es-CR"/>
        </w:rPr>
        <w:t xml:space="preserve"> del </w:t>
      </w:r>
      <w:r w:rsidR="001D02D0" w:rsidRPr="00F866E6">
        <w:rPr>
          <w:rFonts w:ascii="Arial" w:hAnsi="Arial" w:cs="Arial"/>
          <w:bCs/>
          <w:iCs/>
          <w:sz w:val="20"/>
          <w:szCs w:val="20"/>
          <w:lang w:val="es-CR"/>
        </w:rPr>
        <w:t>2 de septiembre del 2004</w:t>
      </w:r>
      <w:r w:rsidR="00F866E6">
        <w:rPr>
          <w:rFonts w:ascii="Arial" w:hAnsi="Arial" w:cs="Arial"/>
          <w:bCs/>
          <w:iCs/>
          <w:sz w:val="20"/>
          <w:szCs w:val="20"/>
          <w:lang w:val="es-CR"/>
        </w:rPr>
        <w:t>.</w:t>
      </w:r>
    </w:p>
    <w:p w:rsidR="00F54184" w:rsidRDefault="00F5418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CC" w:rsidRDefault="008F25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CC" w:rsidRDefault="000E2355" w:rsidP="008F25CC">
    <w:pPr>
      <w:pStyle w:val="Encabezado"/>
      <w:jc w:val="right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margin">
                <wp:posOffset>14605</wp:posOffset>
              </wp:positionH>
              <wp:positionV relativeFrom="paragraph">
                <wp:posOffset>488949</wp:posOffset>
              </wp:positionV>
              <wp:extent cx="5558155" cy="12700"/>
              <wp:effectExtent l="0" t="0" r="4445" b="63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8155" cy="127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B75B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E059A" id="Straight Connector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1.15pt,38.5pt" to="438.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" strokecolor="#1b75bb" strokeweight="1.5pt">
              <w10:wrap anchorx="margin"/>
            </v:line>
          </w:pict>
        </mc:Fallback>
      </mc:AlternateContent>
    </w:r>
    <w:r w:rsidRPr="008F25CC">
      <w:rPr>
        <w:rFonts w:ascii="Calibri" w:hAnsi="Calibri" w:cs="Arial"/>
        <w:i/>
        <w:noProof/>
        <w:sz w:val="20"/>
        <w:szCs w:val="20"/>
        <w:lang w:eastAsia="es-CR"/>
      </w:rPr>
      <w:drawing>
        <wp:inline distT="0" distB="0" distL="0" distR="0">
          <wp:extent cx="1581150" cy="393700"/>
          <wp:effectExtent l="0" t="0" r="0" b="0"/>
          <wp:docPr id="2" name="Picture 3" descr="Logo-Sugeval-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ugeval-Peque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CC" w:rsidRDefault="008F25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2CA9"/>
    <w:multiLevelType w:val="hybridMultilevel"/>
    <w:tmpl w:val="1F127B96"/>
    <w:lvl w:ilvl="0" w:tplc="89E22A2C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F349D"/>
    <w:multiLevelType w:val="hybridMultilevel"/>
    <w:tmpl w:val="532E94C8"/>
    <w:lvl w:ilvl="0" w:tplc="218AFB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F24CD"/>
    <w:multiLevelType w:val="singleLevel"/>
    <w:tmpl w:val="BEA0BBB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BC24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F6C2F"/>
    <w:multiLevelType w:val="hybridMultilevel"/>
    <w:tmpl w:val="CF3E33CA"/>
    <w:lvl w:ilvl="0" w:tplc="D7D4925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C29C7"/>
    <w:multiLevelType w:val="singleLevel"/>
    <w:tmpl w:val="2980A1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</w:rPr>
    </w:lvl>
  </w:abstractNum>
  <w:abstractNum w:abstractNumId="6" w15:restartNumberingAfterBreak="0">
    <w:nsid w:val="3E2E2097"/>
    <w:multiLevelType w:val="hybridMultilevel"/>
    <w:tmpl w:val="1DE2C292"/>
    <w:lvl w:ilvl="0" w:tplc="AF307A1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00834"/>
    <w:multiLevelType w:val="hybridMultilevel"/>
    <w:tmpl w:val="C19880CE"/>
    <w:lvl w:ilvl="0" w:tplc="69A8F1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429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AE5005"/>
    <w:multiLevelType w:val="hybridMultilevel"/>
    <w:tmpl w:val="1E6A5306"/>
    <w:lvl w:ilvl="0" w:tplc="A2AE574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D0"/>
    <w:rsid w:val="00077964"/>
    <w:rsid w:val="000E2355"/>
    <w:rsid w:val="001D02D0"/>
    <w:rsid w:val="005D0F18"/>
    <w:rsid w:val="006A7F00"/>
    <w:rsid w:val="00771C05"/>
    <w:rsid w:val="008F25CC"/>
    <w:rsid w:val="009345FF"/>
    <w:rsid w:val="00AC129D"/>
    <w:rsid w:val="00AD1DFE"/>
    <w:rsid w:val="00DE3FE6"/>
    <w:rsid w:val="00EB47F6"/>
    <w:rsid w:val="00F54184"/>
    <w:rsid w:val="00F82966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81712-1057-441C-ADC0-913AD3B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FFFFFF"/>
      <w:sz w:val="3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ind w:right="-714"/>
      <w:jc w:val="center"/>
      <w:outlineLvl w:val="1"/>
    </w:pPr>
    <w:rPr>
      <w:rFonts w:ascii="Century Gothic" w:hAnsi="Century Gothic" w:cs="Tahoma"/>
      <w:b/>
      <w:lang w:val="es-C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bCs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szCs w:val="20"/>
      <w:lang w:val="es-CR"/>
    </w:rPr>
  </w:style>
  <w:style w:type="paragraph" w:styleId="Textonotapie">
    <w:name w:val="footnote text"/>
    <w:basedOn w:val="Normal"/>
    <w:semiHidden/>
    <w:rPr>
      <w:rFonts w:ascii="Garamond" w:hAnsi="Garamond"/>
      <w:sz w:val="20"/>
      <w:szCs w:val="20"/>
      <w:lang w:val="es-CR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Carta">
    <w:name w:val="Carta"/>
    <w:basedOn w:val="Normal"/>
    <w:pPr>
      <w:spacing w:after="240" w:line="240" w:lineRule="exact"/>
      <w:jc w:val="both"/>
    </w:pPr>
    <w:rPr>
      <w:rFonts w:ascii="Book Antiqua" w:hAnsi="Book Antiqua"/>
      <w:sz w:val="22"/>
      <w:szCs w:val="20"/>
      <w:lang w:val="es-ES_tradnl"/>
    </w:rPr>
  </w:style>
  <w:style w:type="paragraph" w:styleId="Textodebloque">
    <w:name w:val="Block Text"/>
    <w:basedOn w:val="Normal"/>
    <w:pPr>
      <w:ind w:left="360" w:right="-714" w:hanging="360"/>
      <w:jc w:val="both"/>
    </w:pPr>
    <w:rPr>
      <w:rFonts w:ascii="Century Gothic" w:hAnsi="Century Gothic" w:cs="Tahoma"/>
      <w:bCs/>
      <w:sz w:val="21"/>
      <w:lang w:val="es-CR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pPr>
      <w:ind w:right="6"/>
      <w:jc w:val="both"/>
    </w:pPr>
    <w:rPr>
      <w:rFonts w:ascii="Century Gothic" w:hAnsi="Century Gothic" w:cs="Tahoma"/>
      <w:bCs/>
      <w:iCs/>
      <w:sz w:val="22"/>
      <w:szCs w:val="20"/>
      <w:lang w:val="es-CR"/>
    </w:rPr>
  </w:style>
  <w:style w:type="paragraph" w:styleId="Sangradetextonormal">
    <w:name w:val="Body Text Indent"/>
    <w:basedOn w:val="Normal"/>
    <w:pPr>
      <w:ind w:left="360" w:hanging="360"/>
      <w:jc w:val="both"/>
    </w:pPr>
    <w:rPr>
      <w:rFonts w:ascii="Century Gothic" w:hAnsi="Century Gothic"/>
      <w:sz w:val="20"/>
      <w:lang w:val="es-CR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F866E6"/>
    <w:rPr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8F25CC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9345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345F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315842a7-4cff-4ca6-8fb0-a6562d7ae952">Vigente</Estado>
    <Derogado_x0020_por_x003a_ xmlns="315842a7-4cff-4ca6-8fb0-a6562d7ae9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477CF232ACD46B93353E93693837C" ma:contentTypeVersion="22" ma:contentTypeDescription="Crear nuevo documento." ma:contentTypeScope="" ma:versionID="771b5d109343a25d4f006d1cf9f2dd89">
  <xsd:schema xmlns:xsd="http://www.w3.org/2001/XMLSchema" xmlns:xs="http://www.w3.org/2001/XMLSchema" xmlns:p="http://schemas.microsoft.com/office/2006/metadata/properties" xmlns:ns2="315842a7-4cff-4ca6-8fb0-a6562d7ae952" xmlns:ns3="fc66ef79-2d66-4fa3-90bd-e4f186d8d369" targetNamespace="http://schemas.microsoft.com/office/2006/metadata/properties" ma:root="true" ma:fieldsID="92001fb5b952c810e9fd9ed66f8f92f8" ns2:_="" ns3:_="">
    <xsd:import namespace="315842a7-4cff-4ca6-8fb0-a6562d7ae952"/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Estado" minOccurs="0"/>
                <xsd:element ref="ns2:Derogado_x0020_por_x003a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842a7-4cff-4ca6-8fb0-a6562d7ae952" elementFormDefault="qualified">
    <xsd:import namespace="http://schemas.microsoft.com/office/2006/documentManagement/types"/>
    <xsd:import namespace="http://schemas.microsoft.com/office/infopath/2007/PartnerControls"/>
    <xsd:element name="Estado" ma:index="8" nillable="true" ma:displayName="Estado" ma:default="Consulta" ma:format="Dropdown" ma:internalName="Estado">
      <xsd:simpleType>
        <xsd:restriction base="dms:Choice">
          <xsd:enumeration value="Consulta"/>
          <xsd:enumeration value="Derogado"/>
          <xsd:enumeration value="Vigente"/>
        </xsd:restriction>
      </xsd:simpleType>
    </xsd:element>
    <xsd:element name="Derogado_x0020_por_x003a_" ma:index="9" nillable="true" ma:displayName="Derogado por:" ma:internalName="Derogado_x0020_por_x003a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Acuerd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7FD7-02A9-4424-8217-89439B82C852}"/>
</file>

<file path=customXml/itemProps2.xml><?xml version="1.0" encoding="utf-8"?>
<ds:datastoreItem xmlns:ds="http://schemas.openxmlformats.org/officeDocument/2006/customXml" ds:itemID="{D4BA4B4E-B0EE-4ED9-AC49-B3D7340DBB43}"/>
</file>

<file path=customXml/itemProps3.xml><?xml version="1.0" encoding="utf-8"?>
<ds:datastoreItem xmlns:ds="http://schemas.openxmlformats.org/officeDocument/2006/customXml" ds:itemID="{85BE0C03-103B-48AA-8338-670AA12D3805}"/>
</file>

<file path=customXml/itemProps4.xml><?xml version="1.0" encoding="utf-8"?>
<ds:datastoreItem xmlns:ds="http://schemas.openxmlformats.org/officeDocument/2006/customXml" ds:itemID="{DB47D197-226A-41EC-9170-4F448870886E}"/>
</file>

<file path=customXml/itemProps5.xml><?xml version="1.0" encoding="utf-8"?>
<ds:datastoreItem xmlns:ds="http://schemas.openxmlformats.org/officeDocument/2006/customXml" ds:itemID="{9F6281E0-0673-4C8B-BF40-03D4E6147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SGV-A-91</vt:lpstr>
      <vt:lpstr>Acuerdo del Superintendente SGV-A-91 aprobado el 13 de julio  del 2004</vt:lpstr>
    </vt:vector>
  </TitlesOfParts>
  <Company>SUGEVAL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SGV-A-91</dc:title>
  <dc:subject>Acuerdos del Superintendente</dc:subject>
  <dc:creator>FERNANDEZ PORRAS PATRICIA</dc:creator>
  <cp:keywords/>
  <dc:description>Véase además el SGV-A-19</dc:description>
  <cp:lastModifiedBy>ISABEL TAN CHAN</cp:lastModifiedBy>
  <cp:revision>1</cp:revision>
  <cp:lastPrinted>2004-07-13T16:40:00Z</cp:lastPrinted>
  <dcterms:created xsi:type="dcterms:W3CDTF">2020-12-19T05:37:00Z</dcterms:created>
  <dcterms:modified xsi:type="dcterms:W3CDTF">2020-12-19T05:37:00Z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15100.0000000000</vt:lpwstr>
  </property>
  <property fmtid="{D5CDD505-2E9C-101B-9397-08002B2CF9AE}" pid="4" name="ContentTypeId">
    <vt:lpwstr>0x010100C66477CF232ACD46B93353E93693837C</vt:lpwstr>
  </property>
</Properties>
</file>