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15E1" w14:textId="7BC8F5D5" w:rsidR="00532508" w:rsidRPr="00874668" w:rsidRDefault="00532508" w:rsidP="00E43D19">
      <w:pPr>
        <w:spacing w:after="0" w:line="240" w:lineRule="auto"/>
        <w:rPr>
          <w:b/>
          <w:lang w:val="es-CR"/>
        </w:rPr>
      </w:pPr>
    </w:p>
    <w:p w14:paraId="027D15E2" w14:textId="77777777" w:rsidR="00ED2D9F" w:rsidRPr="00874668" w:rsidRDefault="00ED2D9F" w:rsidP="00532508">
      <w:pPr>
        <w:spacing w:after="0" w:line="240" w:lineRule="auto"/>
        <w:jc w:val="center"/>
        <w:rPr>
          <w:b/>
          <w:lang w:val="es-CR"/>
        </w:rPr>
      </w:pPr>
      <w:bookmarkStart w:id="0" w:name="_GoBack"/>
      <w:bookmarkEnd w:id="0"/>
      <w:r w:rsidRPr="00874668">
        <w:rPr>
          <w:b/>
          <w:lang w:val="es-CR"/>
        </w:rPr>
        <w:t>EMISOR CORPORATIVO</w:t>
      </w:r>
    </w:p>
    <w:p w14:paraId="027D15E3" w14:textId="77777777" w:rsidR="00532508" w:rsidRPr="00874668" w:rsidRDefault="00532508" w:rsidP="00532508">
      <w:pPr>
        <w:spacing w:after="0" w:line="240" w:lineRule="auto"/>
        <w:jc w:val="center"/>
        <w:rPr>
          <w:b/>
          <w:lang w:val="es-CR"/>
        </w:rPr>
      </w:pPr>
    </w:p>
    <w:p w14:paraId="027D15E4" w14:textId="77777777" w:rsidR="0073026E" w:rsidRPr="00874668" w:rsidRDefault="00ED2D9F" w:rsidP="00532508">
      <w:pPr>
        <w:spacing w:after="0" w:line="240" w:lineRule="auto"/>
        <w:jc w:val="center"/>
        <w:rPr>
          <w:b/>
          <w:lang w:val="es-CR"/>
        </w:rPr>
      </w:pPr>
      <w:r w:rsidRPr="00874668">
        <w:rPr>
          <w:b/>
          <w:lang w:val="es-CR"/>
        </w:rPr>
        <w:t>Principios orientadores para el cumplimiento de determinados requisitos de oferta pública</w:t>
      </w:r>
    </w:p>
    <w:p w14:paraId="027D15E5" w14:textId="77777777" w:rsidR="00532508" w:rsidRPr="00874668" w:rsidRDefault="00532508" w:rsidP="00532508">
      <w:pPr>
        <w:spacing w:after="0" w:line="240" w:lineRule="auto"/>
        <w:jc w:val="center"/>
        <w:rPr>
          <w:b/>
          <w:lang w:val="es-CR"/>
        </w:rPr>
      </w:pPr>
    </w:p>
    <w:p w14:paraId="027D15E6" w14:textId="77777777" w:rsidR="00C504CB" w:rsidRPr="00874668" w:rsidRDefault="00ED2D9F" w:rsidP="00532508">
      <w:p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El presente documento tiene como objetivo orientar a los interesados en solicitar la autorización de oferta pública en la presentación de algunos </w:t>
      </w:r>
      <w:r w:rsidR="00C504CB" w:rsidRPr="00874668">
        <w:rPr>
          <w:lang w:val="es-CR"/>
        </w:rPr>
        <w:t xml:space="preserve">de los </w:t>
      </w:r>
      <w:r w:rsidRPr="00874668">
        <w:rPr>
          <w:lang w:val="es-CR"/>
        </w:rPr>
        <w:t>requisitos</w:t>
      </w:r>
      <w:r w:rsidR="008F64D2" w:rsidRPr="00874668">
        <w:rPr>
          <w:lang w:val="es-CR"/>
        </w:rPr>
        <w:t xml:space="preserve"> establecidos en</w:t>
      </w:r>
      <w:r w:rsidR="00C504CB" w:rsidRPr="00874668">
        <w:rPr>
          <w:lang w:val="es-CR"/>
        </w:rPr>
        <w:t xml:space="preserve"> la regulación</w:t>
      </w:r>
      <w:r w:rsidR="008D7308" w:rsidRPr="00874668">
        <w:rPr>
          <w:lang w:val="es-CR"/>
        </w:rPr>
        <w:t>.</w:t>
      </w:r>
    </w:p>
    <w:p w14:paraId="027D15E7" w14:textId="77777777" w:rsidR="00532508" w:rsidRPr="00874668" w:rsidRDefault="00532508" w:rsidP="00532508">
      <w:pPr>
        <w:spacing w:after="0" w:line="240" w:lineRule="auto"/>
        <w:jc w:val="both"/>
        <w:rPr>
          <w:lang w:val="es-CR"/>
        </w:rPr>
      </w:pPr>
    </w:p>
    <w:p w14:paraId="027D15E8" w14:textId="77777777" w:rsidR="008D7308" w:rsidRPr="00874668" w:rsidRDefault="00ED2D9F" w:rsidP="00532508">
      <w:p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Los principios que aquí se señalan </w:t>
      </w:r>
      <w:r w:rsidR="00735FFD" w:rsidRPr="00874668">
        <w:rPr>
          <w:lang w:val="es-CR"/>
        </w:rPr>
        <w:t xml:space="preserve">no </w:t>
      </w:r>
      <w:r w:rsidRPr="00874668">
        <w:rPr>
          <w:lang w:val="es-CR"/>
        </w:rPr>
        <w:t>presuponen un requerimiento adicional con respecto a</w:t>
      </w:r>
      <w:r w:rsidR="002F4C6A" w:rsidRPr="00874668">
        <w:rPr>
          <w:lang w:val="es-CR"/>
        </w:rPr>
        <w:t xml:space="preserve"> </w:t>
      </w:r>
      <w:r w:rsidRPr="00874668">
        <w:rPr>
          <w:lang w:val="es-CR"/>
        </w:rPr>
        <w:t>l</w:t>
      </w:r>
      <w:r w:rsidR="002F4C6A" w:rsidRPr="00874668">
        <w:rPr>
          <w:lang w:val="es-CR"/>
        </w:rPr>
        <w:t>o</w:t>
      </w:r>
      <w:r w:rsidRPr="00874668">
        <w:rPr>
          <w:lang w:val="es-CR"/>
        </w:rPr>
        <w:t xml:space="preserve"> establecido en la regulación</w:t>
      </w:r>
      <w:r w:rsidR="002F4C6A" w:rsidRPr="00874668">
        <w:rPr>
          <w:lang w:val="es-CR"/>
        </w:rPr>
        <w:t>, sino que tratan de transparentar</w:t>
      </w:r>
      <w:r w:rsidR="00662E1C" w:rsidRPr="00874668">
        <w:rPr>
          <w:lang w:val="es-CR"/>
        </w:rPr>
        <w:t xml:space="preserve"> el objeto</w:t>
      </w:r>
      <w:r w:rsidR="00646D01" w:rsidRPr="00874668">
        <w:rPr>
          <w:lang w:val="es-CR"/>
        </w:rPr>
        <w:t xml:space="preserve"> de la revisión</w:t>
      </w:r>
      <w:r w:rsidR="00662E1C" w:rsidRPr="00874668">
        <w:rPr>
          <w:lang w:val="es-CR"/>
        </w:rPr>
        <w:t xml:space="preserve"> y</w:t>
      </w:r>
      <w:r w:rsidR="002F4C6A" w:rsidRPr="00874668">
        <w:rPr>
          <w:lang w:val="es-CR"/>
        </w:rPr>
        <w:t xml:space="preserve"> los aspectos principales que </w:t>
      </w:r>
      <w:r w:rsidR="00646D01" w:rsidRPr="00874668">
        <w:rPr>
          <w:lang w:val="es-CR"/>
        </w:rPr>
        <w:t>analiza</w:t>
      </w:r>
      <w:r w:rsidR="002F4C6A" w:rsidRPr="00874668">
        <w:rPr>
          <w:lang w:val="es-CR"/>
        </w:rPr>
        <w:t xml:space="preserve"> la Superintendencia, con</w:t>
      </w:r>
      <w:r w:rsidR="00662E1C" w:rsidRPr="00874668">
        <w:rPr>
          <w:lang w:val="es-CR"/>
        </w:rPr>
        <w:t xml:space="preserve"> </w:t>
      </w:r>
      <w:r w:rsidR="002F4C6A" w:rsidRPr="00874668">
        <w:rPr>
          <w:lang w:val="es-CR"/>
        </w:rPr>
        <w:t>el fin de que sirvan de guía</w:t>
      </w:r>
      <w:r w:rsidR="00662E1C" w:rsidRPr="00874668">
        <w:rPr>
          <w:lang w:val="es-CR"/>
        </w:rPr>
        <w:t xml:space="preserve"> al momento de preparar</w:t>
      </w:r>
      <w:r w:rsidR="00646D01" w:rsidRPr="00874668">
        <w:rPr>
          <w:lang w:val="es-CR"/>
        </w:rPr>
        <w:t xml:space="preserve"> cada requisito.</w:t>
      </w:r>
      <w:r w:rsidR="008D7308" w:rsidRPr="00874668">
        <w:rPr>
          <w:lang w:val="es-CR"/>
        </w:rPr>
        <w:t xml:space="preserve"> </w:t>
      </w:r>
    </w:p>
    <w:p w14:paraId="027D15E9" w14:textId="77777777" w:rsidR="00532508" w:rsidRPr="00874668" w:rsidRDefault="00532508" w:rsidP="00532508">
      <w:pPr>
        <w:spacing w:after="0" w:line="240" w:lineRule="auto"/>
        <w:jc w:val="both"/>
        <w:rPr>
          <w:lang w:val="es-CR"/>
        </w:rPr>
      </w:pPr>
    </w:p>
    <w:p w14:paraId="027D15EA" w14:textId="77777777" w:rsidR="008D7308" w:rsidRPr="00874668" w:rsidRDefault="008D7308" w:rsidP="00532508">
      <w:p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Es importante considerar que este documento es de carácter orientativo y únicamente se refiere a</w:t>
      </w:r>
      <w:r w:rsidR="00735FFD" w:rsidRPr="00874668">
        <w:rPr>
          <w:lang w:val="es-CR"/>
        </w:rPr>
        <w:t xml:space="preserve"> una parte de</w:t>
      </w:r>
      <w:r w:rsidRPr="00874668">
        <w:rPr>
          <w:lang w:val="es-CR"/>
        </w:rPr>
        <w:t xml:space="preserve"> la documentación que </w:t>
      </w:r>
      <w:r w:rsidR="00735FFD" w:rsidRPr="00874668">
        <w:rPr>
          <w:lang w:val="es-CR"/>
        </w:rPr>
        <w:t>se debe presentar con la solicitud de autorización</w:t>
      </w:r>
      <w:r w:rsidRPr="00874668">
        <w:rPr>
          <w:lang w:val="es-CR"/>
        </w:rPr>
        <w:t>. Los requisitos completos para realizar emisiones se encuentran establecidos en el Reglamento sobre oferta pública de valores, el cual debe ser consultado de previo a la presentación de una solicitud de autorización.</w:t>
      </w:r>
    </w:p>
    <w:p w14:paraId="027D15EB" w14:textId="77777777" w:rsidR="00532508" w:rsidRPr="00874668" w:rsidRDefault="00532508" w:rsidP="00532508">
      <w:pPr>
        <w:spacing w:after="0" w:line="240" w:lineRule="auto"/>
        <w:jc w:val="both"/>
        <w:rPr>
          <w:lang w:val="es-CR"/>
        </w:rPr>
      </w:pPr>
    </w:p>
    <w:p w14:paraId="027D15EC" w14:textId="77777777" w:rsidR="00646D01" w:rsidRPr="00874668" w:rsidRDefault="00646D01" w:rsidP="00532508">
      <w:p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Estos principios </w:t>
      </w:r>
      <w:r w:rsidR="008D7308" w:rsidRPr="00874668">
        <w:rPr>
          <w:lang w:val="es-CR"/>
        </w:rPr>
        <w:t xml:space="preserve">mencionados </w:t>
      </w:r>
      <w:r w:rsidRPr="00874668">
        <w:rPr>
          <w:lang w:val="es-CR"/>
        </w:rPr>
        <w:t>derivan de la experiencia acumulada hasta la fecha en la revisión</w:t>
      </w:r>
      <w:r w:rsidR="00DF6796" w:rsidRPr="00874668">
        <w:rPr>
          <w:lang w:val="es-CR"/>
        </w:rPr>
        <w:t xml:space="preserve"> de solicitudes</w:t>
      </w:r>
      <w:r w:rsidR="00C504CB" w:rsidRPr="00874668">
        <w:rPr>
          <w:lang w:val="es-CR"/>
        </w:rPr>
        <w:t xml:space="preserve"> y no son taxativos, por lo que</w:t>
      </w:r>
      <w:r w:rsidR="008D7308" w:rsidRPr="00874668">
        <w:rPr>
          <w:lang w:val="es-CR"/>
        </w:rPr>
        <w:t xml:space="preserve"> dependiendo de las características específicas del trámite podrían requerirse aspectos distintos o adicionales a los aquí reseñados.</w:t>
      </w:r>
    </w:p>
    <w:p w14:paraId="027D15ED" w14:textId="77777777" w:rsidR="00532508" w:rsidRPr="00874668" w:rsidRDefault="00532508" w:rsidP="00532508">
      <w:pPr>
        <w:spacing w:after="0" w:line="240" w:lineRule="auto"/>
        <w:jc w:val="both"/>
        <w:rPr>
          <w:lang w:val="es-CR"/>
        </w:rPr>
      </w:pPr>
    </w:p>
    <w:p w14:paraId="027D15EE" w14:textId="77777777" w:rsidR="007121C5" w:rsidRPr="00874668" w:rsidRDefault="007121C5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Calificación de riesgo</w:t>
      </w:r>
    </w:p>
    <w:p w14:paraId="027D15EF" w14:textId="77777777" w:rsidR="00532508" w:rsidRPr="00874668" w:rsidRDefault="00532508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5F0" w14:textId="77777777" w:rsidR="006C2567" w:rsidRPr="00874668" w:rsidRDefault="006C2567" w:rsidP="00532508">
      <w:pPr>
        <w:spacing w:after="0" w:line="240" w:lineRule="auto"/>
        <w:ind w:left="360"/>
        <w:jc w:val="both"/>
        <w:rPr>
          <w:lang w:val="es-CR"/>
        </w:rPr>
      </w:pPr>
      <w:r w:rsidRPr="00874668">
        <w:rPr>
          <w:lang w:val="es-CR"/>
        </w:rPr>
        <w:t>La calificación de riesgo de la emisión es un elemento importante en el análisis que efectúa la Superintendencia y con su lectura se pretende identificar posibles riesgos que deban ser revelados en el prospecto</w:t>
      </w:r>
      <w:r w:rsidR="007A61D4" w:rsidRPr="00874668">
        <w:rPr>
          <w:lang w:val="es-CR"/>
        </w:rPr>
        <w:t>, así como verificar que exista</w:t>
      </w:r>
      <w:r w:rsidRPr="00874668">
        <w:rPr>
          <w:lang w:val="es-CR"/>
        </w:rPr>
        <w:t xml:space="preserve"> consistencia</w:t>
      </w:r>
      <w:r w:rsidR="007A61D4" w:rsidRPr="00874668">
        <w:rPr>
          <w:lang w:val="es-CR"/>
        </w:rPr>
        <w:t xml:space="preserve"> entre la información de los fundamentos de la calificación y la incorporada en el prospecto.</w:t>
      </w:r>
    </w:p>
    <w:p w14:paraId="027D15F1" w14:textId="77777777" w:rsidR="00532508" w:rsidRPr="00874668" w:rsidRDefault="00532508" w:rsidP="00532508">
      <w:pPr>
        <w:spacing w:after="0" w:line="240" w:lineRule="auto"/>
        <w:ind w:left="360"/>
        <w:jc w:val="both"/>
        <w:rPr>
          <w:lang w:val="es-CR"/>
        </w:rPr>
      </w:pPr>
    </w:p>
    <w:p w14:paraId="027D15F2" w14:textId="77777777" w:rsidR="006C2567" w:rsidRPr="00874668" w:rsidRDefault="002B4037" w:rsidP="00532508">
      <w:pPr>
        <w:widowControl w:val="0"/>
        <w:spacing w:after="0" w:line="240" w:lineRule="auto"/>
        <w:ind w:left="360"/>
        <w:jc w:val="both"/>
        <w:rPr>
          <w:lang w:val="es-CR"/>
        </w:rPr>
      </w:pPr>
      <w:r w:rsidRPr="00874668">
        <w:rPr>
          <w:lang w:val="es-CR"/>
        </w:rPr>
        <w:t>Adicionalmente, se verifica el cumplimiento de aspectos formales establecidos en el Reglamento sobre oferta pública de valores, tales como</w:t>
      </w:r>
      <w:r w:rsidR="00A2084D" w:rsidRPr="00874668">
        <w:rPr>
          <w:lang w:val="es-CR"/>
        </w:rPr>
        <w:t xml:space="preserve"> la presentación de l</w:t>
      </w:r>
      <w:r w:rsidR="006C2567" w:rsidRPr="00874668">
        <w:rPr>
          <w:lang w:val="es-CR"/>
        </w:rPr>
        <w:t xml:space="preserve">a carta de la sociedad calificadora </w:t>
      </w:r>
      <w:r w:rsidR="00A2084D" w:rsidRPr="00874668">
        <w:rPr>
          <w:lang w:val="es-CR"/>
        </w:rPr>
        <w:t>firmada por el</w:t>
      </w:r>
      <w:r w:rsidR="006C2567" w:rsidRPr="00874668">
        <w:rPr>
          <w:lang w:val="es-CR"/>
        </w:rPr>
        <w:t xml:space="preserve"> representante legal</w:t>
      </w:r>
      <w:r w:rsidR="00A2084D" w:rsidRPr="00874668">
        <w:rPr>
          <w:lang w:val="es-CR"/>
        </w:rPr>
        <w:t xml:space="preserve"> y de sus fundamentos respectivos y que la calificación contenga</w:t>
      </w:r>
      <w:r w:rsidR="006C2567" w:rsidRPr="00874668">
        <w:rPr>
          <w:lang w:val="es-CR"/>
        </w:rPr>
        <w:t xml:space="preserve"> al menos la siguiente información:</w:t>
      </w:r>
    </w:p>
    <w:p w14:paraId="027D15F3" w14:textId="77777777" w:rsidR="00532508" w:rsidRPr="00874668" w:rsidRDefault="00532508" w:rsidP="00532508">
      <w:pPr>
        <w:widowControl w:val="0"/>
        <w:spacing w:after="0" w:line="240" w:lineRule="auto"/>
        <w:ind w:left="360"/>
        <w:jc w:val="both"/>
        <w:rPr>
          <w:lang w:val="es-CR"/>
        </w:rPr>
      </w:pPr>
    </w:p>
    <w:p w14:paraId="027D15F4" w14:textId="77777777" w:rsidR="006C2567" w:rsidRPr="00874668" w:rsidRDefault="006C2567" w:rsidP="00532508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Descripción de las características de la emisión calificada.</w:t>
      </w:r>
    </w:p>
    <w:p w14:paraId="027D15F5" w14:textId="77777777" w:rsidR="006C2567" w:rsidRPr="00874668" w:rsidRDefault="006C2567" w:rsidP="00532508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Calificación otorgada a la emisión y su significado.</w:t>
      </w:r>
    </w:p>
    <w:p w14:paraId="027D15F6" w14:textId="77777777" w:rsidR="006C2567" w:rsidRPr="00874668" w:rsidRDefault="006C2567" w:rsidP="00532508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Fundamentos que motivaron dicha asignación.</w:t>
      </w:r>
    </w:p>
    <w:p w14:paraId="027D15F7" w14:textId="77777777" w:rsidR="006C2567" w:rsidRPr="00874668" w:rsidRDefault="006C2567" w:rsidP="00532508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Fecha de la información financiera utilizada.</w:t>
      </w:r>
    </w:p>
    <w:p w14:paraId="027D15F8" w14:textId="77777777" w:rsidR="006C2567" w:rsidRPr="00874668" w:rsidRDefault="006C2567" w:rsidP="00532508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Número de la sesión y fecha del acuerdo del consejo de calificación.</w:t>
      </w:r>
    </w:p>
    <w:p w14:paraId="027D15F9" w14:textId="77777777" w:rsidR="00532508" w:rsidRPr="00874668" w:rsidRDefault="00532508" w:rsidP="00532508">
      <w:pPr>
        <w:pStyle w:val="ListParagraph"/>
        <w:widowControl w:val="0"/>
        <w:spacing w:after="0" w:line="240" w:lineRule="auto"/>
        <w:jc w:val="both"/>
        <w:rPr>
          <w:lang w:val="es-CR"/>
        </w:rPr>
      </w:pPr>
    </w:p>
    <w:p w14:paraId="027D15FA" w14:textId="77777777" w:rsidR="008C59EE" w:rsidRPr="00874668" w:rsidRDefault="008C59EE" w:rsidP="00532508">
      <w:pPr>
        <w:widowControl w:val="0"/>
        <w:spacing w:after="0" w:line="240" w:lineRule="auto"/>
        <w:ind w:left="360"/>
        <w:jc w:val="both"/>
        <w:rPr>
          <w:lang w:val="es-CR"/>
        </w:rPr>
      </w:pPr>
      <w:r w:rsidRPr="00874668">
        <w:rPr>
          <w:lang w:val="es-CR"/>
        </w:rPr>
        <w:t>Finalmente, se revisa que la calificación</w:t>
      </w:r>
      <w:r w:rsidR="009E6B26" w:rsidRPr="00874668">
        <w:rPr>
          <w:lang w:val="es-CR"/>
        </w:rPr>
        <w:t xml:space="preserve"> de riesgo no tenga más de seis meses de emitida</w:t>
      </w:r>
      <w:r w:rsidR="00C66FF5" w:rsidRPr="00874668">
        <w:rPr>
          <w:lang w:val="es-CR"/>
        </w:rPr>
        <w:t>. Se debe tener en cuenta que para la colocación de las emisiones, se deberá contar con una calificación de riesgo actualizada, de acuerdo con la normativa vigente en materia de calificación y de oferta pública</w:t>
      </w:r>
      <w:r w:rsidR="00532508" w:rsidRPr="00874668">
        <w:rPr>
          <w:lang w:val="es-CR"/>
        </w:rPr>
        <w:t>.</w:t>
      </w:r>
    </w:p>
    <w:p w14:paraId="027D15FB" w14:textId="77777777" w:rsidR="00532508" w:rsidRPr="00874668" w:rsidRDefault="00532508" w:rsidP="00532508">
      <w:pPr>
        <w:widowControl w:val="0"/>
        <w:spacing w:after="0" w:line="240" w:lineRule="auto"/>
        <w:ind w:left="360"/>
        <w:jc w:val="both"/>
        <w:rPr>
          <w:lang w:val="es-CR"/>
        </w:rPr>
      </w:pPr>
    </w:p>
    <w:p w14:paraId="027D15FC" w14:textId="77777777" w:rsidR="007A61D4" w:rsidRPr="00874668" w:rsidRDefault="007A61D4" w:rsidP="00532508">
      <w:pPr>
        <w:spacing w:after="0" w:line="240" w:lineRule="auto"/>
        <w:ind w:left="360"/>
        <w:jc w:val="both"/>
        <w:rPr>
          <w:lang w:val="es-CR"/>
        </w:rPr>
      </w:pPr>
      <w:r w:rsidRPr="00874668">
        <w:rPr>
          <w:lang w:val="es-CR"/>
        </w:rPr>
        <w:t xml:space="preserve">Este requisito aplica para emisiones de deuda, bonos convertibles, acciones preferentes que califiquen como deuda y productos estructurados. </w:t>
      </w:r>
    </w:p>
    <w:p w14:paraId="027D15FD" w14:textId="77777777" w:rsidR="00532508" w:rsidRPr="00874668" w:rsidRDefault="00532508" w:rsidP="00532508">
      <w:pPr>
        <w:spacing w:after="0" w:line="240" w:lineRule="auto"/>
        <w:ind w:left="360"/>
        <w:jc w:val="both"/>
        <w:rPr>
          <w:lang w:val="es-CR"/>
        </w:rPr>
      </w:pPr>
    </w:p>
    <w:p w14:paraId="027D15FE" w14:textId="77777777" w:rsidR="007121C5" w:rsidRPr="00874668" w:rsidRDefault="007121C5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Estados financieros auditados consolidados para el último periodo fiscal</w:t>
      </w:r>
      <w:r w:rsidR="00D142F4" w:rsidRPr="00874668">
        <w:rPr>
          <w:b/>
          <w:lang w:val="es-CR"/>
        </w:rPr>
        <w:t>, que incluya dos años comparativos, de acuerdo con las normas contables aprobadas por el CONASSIF.</w:t>
      </w:r>
    </w:p>
    <w:p w14:paraId="027D15FF" w14:textId="77777777" w:rsidR="00A324D7" w:rsidRPr="00874668" w:rsidRDefault="00A324D7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00" w14:textId="77777777" w:rsidR="0094539C" w:rsidRPr="00874668" w:rsidRDefault="00BF74CA" w:rsidP="00532508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El análisis </w:t>
      </w:r>
      <w:r w:rsidR="0063592F" w:rsidRPr="00874668">
        <w:rPr>
          <w:lang w:val="es-CR"/>
        </w:rPr>
        <w:t>que la Superintendencia</w:t>
      </w:r>
      <w:r w:rsidR="0094539C" w:rsidRPr="00874668">
        <w:rPr>
          <w:lang w:val="es-CR"/>
        </w:rPr>
        <w:t xml:space="preserve"> efectúa de los estados financieros de</w:t>
      </w:r>
      <w:r w:rsidR="00193692" w:rsidRPr="00874668">
        <w:rPr>
          <w:lang w:val="es-CR"/>
        </w:rPr>
        <w:t>l</w:t>
      </w:r>
      <w:r w:rsidR="0094539C" w:rsidRPr="00874668">
        <w:rPr>
          <w:lang w:val="es-CR"/>
        </w:rPr>
        <w:t xml:space="preserve"> emisor tiene </w:t>
      </w:r>
      <w:r w:rsidR="004D6517" w:rsidRPr="00874668">
        <w:rPr>
          <w:lang w:val="es-CR"/>
        </w:rPr>
        <w:t>tres</w:t>
      </w:r>
      <w:r w:rsidR="0094539C" w:rsidRPr="00874668">
        <w:rPr>
          <w:lang w:val="es-CR"/>
        </w:rPr>
        <w:t xml:space="preserve"> componentes:</w:t>
      </w:r>
    </w:p>
    <w:p w14:paraId="027D1601" w14:textId="77777777" w:rsidR="00A257E9" w:rsidRPr="00874668" w:rsidRDefault="00A257E9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02" w14:textId="77777777" w:rsidR="00A324D7" w:rsidRPr="00874668" w:rsidRDefault="0063592F" w:rsidP="0053250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Revisión del cumplimiento de ciertos aspectos básicos de las Normas Internacionales de Información Financiera (NIIF)</w:t>
      </w:r>
      <w:r w:rsidR="00BF74CA" w:rsidRPr="00874668">
        <w:rPr>
          <w:lang w:val="es-CR"/>
        </w:rPr>
        <w:t>, relacionados con:</w:t>
      </w:r>
    </w:p>
    <w:p w14:paraId="027D1603" w14:textId="77777777" w:rsidR="00BF74CA" w:rsidRPr="00874668" w:rsidRDefault="00BF74CA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04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Presentación de estados financi</w:t>
      </w:r>
      <w:r w:rsidR="00731DD4" w:rsidRPr="00874668">
        <w:rPr>
          <w:lang w:val="es-CR"/>
        </w:rPr>
        <w:t>eros completos (NIC 1</w:t>
      </w:r>
      <w:r w:rsidRPr="00874668">
        <w:rPr>
          <w:lang w:val="es-CR"/>
        </w:rPr>
        <w:t>)</w:t>
      </w:r>
    </w:p>
    <w:p w14:paraId="027D1605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Estructura básica de los estad</w:t>
      </w:r>
      <w:r w:rsidR="00731DD4" w:rsidRPr="00874668">
        <w:rPr>
          <w:lang w:val="es-CR"/>
        </w:rPr>
        <w:t>os financieros (NIC 1</w:t>
      </w:r>
      <w:r w:rsidRPr="00874668">
        <w:rPr>
          <w:lang w:val="es-CR"/>
        </w:rPr>
        <w:t>)</w:t>
      </w:r>
    </w:p>
    <w:p w14:paraId="027D1606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Información comparativa con respecto al pe</w:t>
      </w:r>
      <w:r w:rsidR="00731DD4" w:rsidRPr="00874668">
        <w:rPr>
          <w:lang w:val="es-CR"/>
        </w:rPr>
        <w:t>riodo anterior (NIC 1</w:t>
      </w:r>
      <w:r w:rsidRPr="00874668">
        <w:rPr>
          <w:lang w:val="es-CR"/>
        </w:rPr>
        <w:t>)</w:t>
      </w:r>
    </w:p>
    <w:p w14:paraId="027D1607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Hipótesis de neg</w:t>
      </w:r>
      <w:r w:rsidR="00731DD4" w:rsidRPr="00874668">
        <w:rPr>
          <w:lang w:val="es-CR"/>
        </w:rPr>
        <w:t>ocio en marcha (NIC 1</w:t>
      </w:r>
      <w:r w:rsidRPr="00874668">
        <w:rPr>
          <w:lang w:val="es-CR"/>
        </w:rPr>
        <w:t>)</w:t>
      </w:r>
    </w:p>
    <w:p w14:paraId="027D1608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Revelación de las normas contables aplicadas </w:t>
      </w:r>
      <w:r w:rsidR="00731DD4" w:rsidRPr="00874668">
        <w:rPr>
          <w:lang w:val="es-CR"/>
        </w:rPr>
        <w:t>(NIC 1</w:t>
      </w:r>
      <w:r w:rsidRPr="00874668">
        <w:rPr>
          <w:lang w:val="es-CR"/>
        </w:rPr>
        <w:t>)</w:t>
      </w:r>
    </w:p>
    <w:p w14:paraId="027D1609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Revelación de hechos subsecuentes y contingencias </w:t>
      </w:r>
      <w:r w:rsidR="00731DD4" w:rsidRPr="00874668">
        <w:rPr>
          <w:lang w:val="es-CR"/>
        </w:rPr>
        <w:t xml:space="preserve">(NIC 1 </w:t>
      </w:r>
      <w:r w:rsidRPr="00874668">
        <w:rPr>
          <w:lang w:val="es-CR"/>
        </w:rPr>
        <w:t>)</w:t>
      </w:r>
    </w:p>
    <w:p w14:paraId="027D160A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Cálculo de las Ganancias por Acción Básic</w:t>
      </w:r>
      <w:r w:rsidR="00731DD4" w:rsidRPr="00874668">
        <w:rPr>
          <w:lang w:val="es-CR"/>
        </w:rPr>
        <w:t>as y Diluidas (NIC 33</w:t>
      </w:r>
      <w:r w:rsidRPr="00874668">
        <w:rPr>
          <w:lang w:val="es-CR"/>
        </w:rPr>
        <w:t>)</w:t>
      </w:r>
    </w:p>
    <w:p w14:paraId="027D160B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Contabilización acciones preferentes (</w:t>
      </w:r>
      <w:r w:rsidR="00731DD4" w:rsidRPr="00874668">
        <w:rPr>
          <w:lang w:val="es-CR"/>
        </w:rPr>
        <w:t>NIC 33</w:t>
      </w:r>
      <w:r w:rsidRPr="00874668">
        <w:rPr>
          <w:lang w:val="es-CR"/>
        </w:rPr>
        <w:t>)</w:t>
      </w:r>
    </w:p>
    <w:p w14:paraId="027D160C" w14:textId="77777777" w:rsidR="00BF74CA" w:rsidRPr="00874668" w:rsidRDefault="00BF74CA" w:rsidP="00532508">
      <w:pPr>
        <w:pStyle w:val="ListParagraph"/>
        <w:numPr>
          <w:ilvl w:val="0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Aspectos relacionados con las Normas Internacionales de Auditoría (NIA) referentes a : </w:t>
      </w:r>
    </w:p>
    <w:p w14:paraId="027D160D" w14:textId="77777777" w:rsidR="00BF74CA" w:rsidRPr="00874668" w:rsidRDefault="00BF74CA" w:rsidP="00532508">
      <w:pPr>
        <w:pStyle w:val="ListParagraph"/>
        <w:numPr>
          <w:ilvl w:val="1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Opinión a los estados financieros (NIA 705)</w:t>
      </w:r>
    </w:p>
    <w:p w14:paraId="027D160E" w14:textId="77777777" w:rsidR="00BF74CA" w:rsidRPr="00874668" w:rsidRDefault="00BF74CA" w:rsidP="00532508">
      <w:pPr>
        <w:pStyle w:val="ListParagraph"/>
        <w:numPr>
          <w:ilvl w:val="1"/>
          <w:numId w:val="8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Salvedades, limitaciones al alcance u otro tipo de anotación en la opinión (NIA 705)</w:t>
      </w:r>
    </w:p>
    <w:p w14:paraId="027D160F" w14:textId="77777777" w:rsidR="00BF74CA" w:rsidRPr="00874668" w:rsidRDefault="00BF74CA" w:rsidP="00532508">
      <w:pPr>
        <w:pStyle w:val="ListParagraph"/>
        <w:spacing w:after="0" w:line="240" w:lineRule="auto"/>
        <w:ind w:left="1080"/>
        <w:jc w:val="both"/>
        <w:rPr>
          <w:lang w:val="es-CR"/>
        </w:rPr>
      </w:pPr>
    </w:p>
    <w:p w14:paraId="027D1610" w14:textId="77777777" w:rsidR="00BF74CA" w:rsidRPr="00874668" w:rsidRDefault="00BF74CA" w:rsidP="00532508">
      <w:pPr>
        <w:spacing w:after="0" w:line="240" w:lineRule="auto"/>
        <w:ind w:left="720"/>
        <w:jc w:val="both"/>
        <w:rPr>
          <w:lang w:val="es-CR"/>
        </w:rPr>
      </w:pPr>
      <w:r w:rsidRPr="00874668">
        <w:rPr>
          <w:lang w:val="es-CR"/>
        </w:rPr>
        <w:t>Cabe señalar que esta revisión no exime al solicitante de sus responsabilidades en relación con el cumplimiento de las normas legales y contables que le aplican.</w:t>
      </w:r>
    </w:p>
    <w:p w14:paraId="027D1611" w14:textId="77777777" w:rsidR="00532508" w:rsidRPr="00874668" w:rsidRDefault="00532508" w:rsidP="00532508">
      <w:pPr>
        <w:spacing w:after="0" w:line="240" w:lineRule="auto"/>
        <w:ind w:left="720"/>
        <w:jc w:val="both"/>
        <w:rPr>
          <w:lang w:val="es-CR"/>
        </w:rPr>
      </w:pPr>
    </w:p>
    <w:p w14:paraId="027D1612" w14:textId="77777777" w:rsidR="0063592F" w:rsidRPr="00874668" w:rsidRDefault="0063592F" w:rsidP="0053250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Análisis </w:t>
      </w:r>
      <w:r w:rsidR="00BF74CA" w:rsidRPr="00874668">
        <w:rPr>
          <w:lang w:val="es-CR"/>
        </w:rPr>
        <w:t xml:space="preserve"> para determinar la consistencia de las revelaciones del prospecto</w:t>
      </w:r>
      <w:r w:rsidR="00462DC6" w:rsidRPr="00874668">
        <w:rPr>
          <w:lang w:val="es-CR"/>
        </w:rPr>
        <w:t xml:space="preserve"> </w:t>
      </w:r>
      <w:r w:rsidR="00BF74CA" w:rsidRPr="00874668">
        <w:rPr>
          <w:lang w:val="es-CR"/>
        </w:rPr>
        <w:t>o</w:t>
      </w:r>
      <w:r w:rsidR="00462DC6" w:rsidRPr="00874668">
        <w:rPr>
          <w:lang w:val="es-CR"/>
        </w:rPr>
        <w:t xml:space="preserve"> bien</w:t>
      </w:r>
      <w:r w:rsidR="00BF74CA" w:rsidRPr="00874668">
        <w:rPr>
          <w:lang w:val="es-CR"/>
        </w:rPr>
        <w:t xml:space="preserve"> </w:t>
      </w:r>
      <w:r w:rsidR="00462DC6" w:rsidRPr="00874668">
        <w:rPr>
          <w:lang w:val="es-CR"/>
        </w:rPr>
        <w:t xml:space="preserve">para identificar si es necesario </w:t>
      </w:r>
      <w:r w:rsidR="00BF74CA" w:rsidRPr="00874668">
        <w:rPr>
          <w:lang w:val="es-CR"/>
        </w:rPr>
        <w:t>solicitar revelaciones adicionales</w:t>
      </w:r>
      <w:r w:rsidR="00462DC6" w:rsidRPr="00874668">
        <w:rPr>
          <w:lang w:val="es-CR"/>
        </w:rPr>
        <w:t>, especialmente en las secciones de riesgos y de información general del emisor, de forma que dicha información esté disponible para los inversionistas al momento de tomar sus decisiones de inversión.</w:t>
      </w:r>
    </w:p>
    <w:p w14:paraId="027D1613" w14:textId="77777777" w:rsidR="004D6517" w:rsidRPr="00874668" w:rsidRDefault="004D6517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14" w14:textId="77777777" w:rsidR="004D6517" w:rsidRPr="00874668" w:rsidRDefault="004D6517" w:rsidP="0053250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Verificación </w:t>
      </w:r>
      <w:r w:rsidR="007140B5" w:rsidRPr="00874668">
        <w:rPr>
          <w:lang w:val="es-CR"/>
        </w:rPr>
        <w:t xml:space="preserve">de </w:t>
      </w:r>
      <w:r w:rsidRPr="00874668">
        <w:rPr>
          <w:lang w:val="es-CR"/>
        </w:rPr>
        <w:t>que la información financiera auditada haya sido preparada por una firma de auditoría externa o un auditor externo independiente, inscrito en el Registro de Auditores Elegibles que forma parte del Registro Nacional de Valores e Intermediarios.</w:t>
      </w:r>
    </w:p>
    <w:p w14:paraId="027D1615" w14:textId="77777777" w:rsidR="0063592F" w:rsidRPr="00874668" w:rsidRDefault="0063592F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16" w14:textId="77777777" w:rsidR="006D36AB" w:rsidRPr="00874668" w:rsidRDefault="006D36AB" w:rsidP="006D36AB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Este requisito aplica en caso de que  la entidad se encuentre en operación con anterioridad a la inscripción de los valores para oferta pública. Cuando la empresa cuente con solo un año de constitución, no se requerirá el comparativo de dos años.</w:t>
      </w:r>
    </w:p>
    <w:p w14:paraId="027D1617" w14:textId="77777777" w:rsidR="00DF6796" w:rsidRPr="00874668" w:rsidRDefault="00DF6796" w:rsidP="006D36AB">
      <w:pPr>
        <w:pStyle w:val="ListParagraph"/>
        <w:spacing w:after="0" w:line="240" w:lineRule="auto"/>
        <w:jc w:val="both"/>
        <w:rPr>
          <w:lang w:val="es-CR"/>
        </w:rPr>
      </w:pPr>
    </w:p>
    <w:p w14:paraId="027D1618" w14:textId="77777777" w:rsidR="00DF6796" w:rsidRPr="00874668" w:rsidRDefault="00DF6796" w:rsidP="006D36AB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Durante el proceso de autorización, </w:t>
      </w:r>
      <w:r w:rsidR="00306441" w:rsidRPr="00874668">
        <w:rPr>
          <w:lang w:val="es-CR"/>
        </w:rPr>
        <w:t>la información financiera auditada deberá actualizarse</w:t>
      </w:r>
      <w:r w:rsidR="00BC7C24" w:rsidRPr="00874668">
        <w:rPr>
          <w:lang w:val="es-CR"/>
        </w:rPr>
        <w:t xml:space="preserve"> </w:t>
      </w:r>
      <w:r w:rsidR="00306441" w:rsidRPr="00874668">
        <w:rPr>
          <w:lang w:val="es-CR"/>
        </w:rPr>
        <w:t xml:space="preserve">según las fechas establecidas en el cronograma de presentación de información periódica, el cual se puede consultar en la página web de la </w:t>
      </w:r>
      <w:proofErr w:type="gramStart"/>
      <w:r w:rsidR="00306441" w:rsidRPr="00874668">
        <w:rPr>
          <w:lang w:val="es-CR"/>
        </w:rPr>
        <w:t>SUGEVAL ,</w:t>
      </w:r>
      <w:proofErr w:type="gramEnd"/>
      <w:r w:rsidR="00306441" w:rsidRPr="00874668">
        <w:rPr>
          <w:lang w:val="es-CR"/>
        </w:rPr>
        <w:t xml:space="preserve"> en la sección “Normativa Contable” del apartado “Normativa”.</w:t>
      </w:r>
    </w:p>
    <w:p w14:paraId="027D1619" w14:textId="77777777" w:rsidR="006D36AB" w:rsidRPr="00874668" w:rsidRDefault="006D36AB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1A" w14:textId="77777777" w:rsidR="00306441" w:rsidRPr="00874668" w:rsidRDefault="00306441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Estados financieros intermedios completos para el último periodo trimestral, de acuerdo con las normas contables aprobadas por el CONASSIF.</w:t>
      </w:r>
    </w:p>
    <w:p w14:paraId="027D161B" w14:textId="77777777" w:rsidR="00306441" w:rsidRPr="00874668" w:rsidRDefault="00306441" w:rsidP="00306441">
      <w:pPr>
        <w:spacing w:after="0" w:line="240" w:lineRule="auto"/>
        <w:ind w:left="720"/>
        <w:jc w:val="both"/>
        <w:rPr>
          <w:b/>
          <w:lang w:val="es-CR"/>
        </w:rPr>
      </w:pPr>
    </w:p>
    <w:p w14:paraId="027D161C" w14:textId="77777777" w:rsidR="00306441" w:rsidRPr="00874668" w:rsidRDefault="00306441" w:rsidP="00306441">
      <w:pPr>
        <w:spacing w:after="0" w:line="240" w:lineRule="auto"/>
        <w:ind w:left="720"/>
        <w:jc w:val="both"/>
        <w:rPr>
          <w:lang w:val="es-CR"/>
        </w:rPr>
      </w:pPr>
      <w:r w:rsidRPr="00874668">
        <w:rPr>
          <w:lang w:val="es-CR"/>
        </w:rPr>
        <w:t>Con respecto a los estados financieros trimestrales, se revisan los siguientes aspectos básicos</w:t>
      </w:r>
      <w:r w:rsidR="0042111F" w:rsidRPr="00874668">
        <w:rPr>
          <w:lang w:val="es-CR"/>
        </w:rPr>
        <w:t xml:space="preserve"> de las Normas Internacionales de Información Financiera (NIIF):</w:t>
      </w:r>
    </w:p>
    <w:p w14:paraId="027D161D" w14:textId="77777777" w:rsidR="0042111F" w:rsidRPr="00874668" w:rsidRDefault="0042111F" w:rsidP="0042111F">
      <w:pPr>
        <w:pStyle w:val="ListParagraph"/>
        <w:numPr>
          <w:ilvl w:val="0"/>
          <w:numId w:val="20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Presentación de estados financieros completos (NIC 1)</w:t>
      </w:r>
    </w:p>
    <w:p w14:paraId="027D161E" w14:textId="77777777" w:rsidR="0042111F" w:rsidRPr="00874668" w:rsidRDefault="0042111F" w:rsidP="0042111F">
      <w:pPr>
        <w:pStyle w:val="ListParagraph"/>
        <w:numPr>
          <w:ilvl w:val="0"/>
          <w:numId w:val="20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Estructura básica de los estados financieros (NIC 1)</w:t>
      </w:r>
    </w:p>
    <w:p w14:paraId="027D161F" w14:textId="77777777" w:rsidR="0042111F" w:rsidRPr="00874668" w:rsidRDefault="0042111F" w:rsidP="0042111F">
      <w:pPr>
        <w:pStyle w:val="ListParagraph"/>
        <w:numPr>
          <w:ilvl w:val="0"/>
          <w:numId w:val="20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Información comparativa con respecto al periodo anterior (NIC 1)</w:t>
      </w:r>
    </w:p>
    <w:p w14:paraId="027D1620" w14:textId="77777777" w:rsidR="0042111F" w:rsidRPr="00874668" w:rsidRDefault="0042111F" w:rsidP="0042111F">
      <w:pPr>
        <w:pStyle w:val="ListParagraph"/>
        <w:numPr>
          <w:ilvl w:val="0"/>
          <w:numId w:val="20"/>
        </w:numPr>
        <w:tabs>
          <w:tab w:val="left" w:pos="293"/>
        </w:tabs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Revelación de las normas contables aplicadas (NIC 1)</w:t>
      </w:r>
    </w:p>
    <w:p w14:paraId="027D1621" w14:textId="77777777" w:rsidR="004A37F8" w:rsidRPr="00874668" w:rsidRDefault="004A37F8" w:rsidP="004A37F8">
      <w:pPr>
        <w:tabs>
          <w:tab w:val="left" w:pos="293"/>
        </w:tabs>
        <w:spacing w:after="0" w:line="240" w:lineRule="auto"/>
        <w:jc w:val="both"/>
        <w:rPr>
          <w:lang w:val="es-CR"/>
        </w:rPr>
      </w:pPr>
    </w:p>
    <w:p w14:paraId="027D1622" w14:textId="77777777" w:rsidR="00306441" w:rsidRPr="00874668" w:rsidRDefault="003103E0" w:rsidP="00306441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Además, se verifica que lleven la firma del gerente general, del contador o del gerente financiero, así como del auditor interno de la empresa.</w:t>
      </w:r>
      <w:r w:rsidR="00A82030" w:rsidRPr="00874668">
        <w:rPr>
          <w:lang w:val="es-CR"/>
        </w:rPr>
        <w:t xml:space="preserve"> </w:t>
      </w:r>
      <w:r w:rsidRPr="00874668">
        <w:rPr>
          <w:lang w:val="es-CR"/>
        </w:rPr>
        <w:t xml:space="preserve">Finalmente, </w:t>
      </w:r>
      <w:r w:rsidR="00A82030" w:rsidRPr="00874668">
        <w:rPr>
          <w:lang w:val="es-CR"/>
        </w:rPr>
        <w:t>dichos estados</w:t>
      </w:r>
      <w:r w:rsidR="004A37F8" w:rsidRPr="00874668">
        <w:rPr>
          <w:lang w:val="es-CR"/>
        </w:rPr>
        <w:t>, junto con la información financiera auditada</w:t>
      </w:r>
      <w:r w:rsidR="00A82030" w:rsidRPr="00874668">
        <w:rPr>
          <w:lang w:val="es-CR"/>
        </w:rPr>
        <w:t>, se analizan para determinar la consistencia de las revelaciones del prospecto o la necesidad de requerir nuevas revelaciones.</w:t>
      </w:r>
    </w:p>
    <w:p w14:paraId="027D1623" w14:textId="77777777" w:rsidR="004A37F8" w:rsidRPr="00874668" w:rsidRDefault="004A37F8" w:rsidP="00306441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24" w14:textId="77777777" w:rsidR="00A82030" w:rsidRPr="00874668" w:rsidRDefault="00015E54" w:rsidP="00306441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Este requisito aplica en caso de que el fideicomiso se encuentre en operación al momento de la solicitud de autorización de oferta pública. </w:t>
      </w:r>
      <w:r w:rsidR="00A82030" w:rsidRPr="00874668">
        <w:rPr>
          <w:lang w:val="es-CR"/>
        </w:rPr>
        <w:t>Durante el proceso de autorización, la información financiera trimestral deberá actualizarse según las fechas establecidas en el cronograma de presentación de información periódica, el cual se puede consultar</w:t>
      </w:r>
      <w:r w:rsidR="004E180B" w:rsidRPr="00874668">
        <w:rPr>
          <w:lang w:val="es-CR"/>
        </w:rPr>
        <w:t xml:space="preserve"> en la página web de la SUGEVAL</w:t>
      </w:r>
      <w:r w:rsidR="00A82030" w:rsidRPr="00874668">
        <w:rPr>
          <w:lang w:val="es-CR"/>
        </w:rPr>
        <w:t>, en la sección “Normativa Contable” del apartado “Normativa”.</w:t>
      </w:r>
    </w:p>
    <w:p w14:paraId="027D1625" w14:textId="77777777" w:rsidR="00A82030" w:rsidRPr="00874668" w:rsidRDefault="00A82030" w:rsidP="00306441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26" w14:textId="77777777" w:rsidR="007121C5" w:rsidRPr="00874668" w:rsidRDefault="007121C5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Proyecciones de flujos de caja</w:t>
      </w:r>
      <w:r w:rsidR="00F55F27" w:rsidRPr="00874668">
        <w:rPr>
          <w:b/>
          <w:lang w:val="es-CR"/>
        </w:rPr>
        <w:t xml:space="preserve"> estimados</w:t>
      </w:r>
      <w:r w:rsidRPr="00874668">
        <w:rPr>
          <w:b/>
          <w:lang w:val="es-CR"/>
        </w:rPr>
        <w:t>, del estado de situación y del estado de resultados integrales</w:t>
      </w:r>
    </w:p>
    <w:p w14:paraId="027D1627" w14:textId="77777777" w:rsidR="009304C5" w:rsidRPr="00874668" w:rsidRDefault="009304C5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28" w14:textId="77777777" w:rsidR="00F01000" w:rsidRPr="00874668" w:rsidRDefault="00F01000" w:rsidP="00F01000">
      <w:pPr>
        <w:widowControl w:val="0"/>
        <w:spacing w:after="0" w:line="240" w:lineRule="auto"/>
        <w:ind w:left="720" w:hanging="11"/>
        <w:jc w:val="both"/>
        <w:rPr>
          <w:lang w:val="es-CR"/>
        </w:rPr>
      </w:pPr>
      <w:r w:rsidRPr="00874668">
        <w:rPr>
          <w:lang w:val="es-CR"/>
        </w:rPr>
        <w:t>Este requisito aplica para aquellas entidades que por su fecha de constitución no dispongan de la información financiera requerida en el Reglamento sobre oferta pública de valores.</w:t>
      </w:r>
    </w:p>
    <w:p w14:paraId="027D1629" w14:textId="77777777" w:rsidR="00F01000" w:rsidRPr="00874668" w:rsidRDefault="00F01000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2A" w14:textId="77777777" w:rsidR="00D020FB" w:rsidRPr="00874668" w:rsidRDefault="00711604" w:rsidP="00532508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Con respecto a este</w:t>
      </w:r>
      <w:r w:rsidR="00F01000" w:rsidRPr="00874668">
        <w:rPr>
          <w:lang w:val="es-CR"/>
        </w:rPr>
        <w:t xml:space="preserve"> documento</w:t>
      </w:r>
      <w:r w:rsidRPr="00874668">
        <w:rPr>
          <w:lang w:val="es-CR"/>
        </w:rPr>
        <w:t>, la Superintendencia</w:t>
      </w:r>
      <w:r w:rsidR="00A257E9" w:rsidRPr="00874668">
        <w:rPr>
          <w:lang w:val="es-CR"/>
        </w:rPr>
        <w:t xml:space="preserve"> </w:t>
      </w:r>
      <w:r w:rsidR="00D212FE" w:rsidRPr="00874668">
        <w:rPr>
          <w:lang w:val="es-CR"/>
        </w:rPr>
        <w:t xml:space="preserve">analiza </w:t>
      </w:r>
      <w:r w:rsidR="00E37197" w:rsidRPr="00874668">
        <w:rPr>
          <w:lang w:val="es-CR"/>
        </w:rPr>
        <w:t xml:space="preserve"> para el caso de emisores de deuda </w:t>
      </w:r>
      <w:r w:rsidR="00D212FE" w:rsidRPr="00874668">
        <w:rPr>
          <w:lang w:val="es-CR"/>
        </w:rPr>
        <w:t>si existe capacidad de pago en el emiso</w:t>
      </w:r>
      <w:r w:rsidR="000616B8" w:rsidRPr="00874668">
        <w:rPr>
          <w:lang w:val="es-CR"/>
        </w:rPr>
        <w:t>r para cubrir las erogaciones derivada</w:t>
      </w:r>
      <w:r w:rsidR="00D212FE" w:rsidRPr="00874668">
        <w:rPr>
          <w:lang w:val="es-CR"/>
        </w:rPr>
        <w:t>s de las emisiones</w:t>
      </w:r>
      <w:r w:rsidR="00E37197" w:rsidRPr="00874668">
        <w:rPr>
          <w:lang w:val="es-CR"/>
        </w:rPr>
        <w:t xml:space="preserve"> y en el caso de emisores accionarios si existe posibilidad de obtener un rendimiento en el futuro. Este análisis se efectúa</w:t>
      </w:r>
      <w:r w:rsidR="008B1DCE" w:rsidRPr="00874668">
        <w:rPr>
          <w:lang w:val="es-CR"/>
        </w:rPr>
        <w:t xml:space="preserve"> con el fin de identificar</w:t>
      </w:r>
      <w:r w:rsidR="0064265A" w:rsidRPr="00874668">
        <w:rPr>
          <w:lang w:val="es-CR"/>
        </w:rPr>
        <w:t xml:space="preserve"> si se deben realizar otras revelaciones en el prospecto</w:t>
      </w:r>
      <w:r w:rsidR="000616B8" w:rsidRPr="00874668">
        <w:rPr>
          <w:lang w:val="es-CR"/>
        </w:rPr>
        <w:t>. Adicionalmente, determina si existe co</w:t>
      </w:r>
      <w:r w:rsidR="00D020FB" w:rsidRPr="00874668">
        <w:rPr>
          <w:lang w:val="es-CR"/>
        </w:rPr>
        <w:t>nsistencia</w:t>
      </w:r>
      <w:r w:rsidR="000616B8" w:rsidRPr="00874668">
        <w:rPr>
          <w:lang w:val="es-CR"/>
        </w:rPr>
        <w:t xml:space="preserve"> con la información del prospecto</w:t>
      </w:r>
      <w:r w:rsidR="00F01000" w:rsidRPr="00874668">
        <w:rPr>
          <w:lang w:val="es-CR"/>
        </w:rPr>
        <w:t xml:space="preserve"> y con los supuestos enunciados y</w:t>
      </w:r>
      <w:r w:rsidR="000616B8" w:rsidRPr="00874668">
        <w:rPr>
          <w:lang w:val="es-CR"/>
        </w:rPr>
        <w:t xml:space="preserve"> si es necesario revelar</w:t>
      </w:r>
      <w:r w:rsidR="00D020FB" w:rsidRPr="00874668">
        <w:rPr>
          <w:lang w:val="es-CR"/>
        </w:rPr>
        <w:t xml:space="preserve"> en dicho documento</w:t>
      </w:r>
      <w:r w:rsidR="000616B8" w:rsidRPr="00874668">
        <w:rPr>
          <w:lang w:val="es-CR"/>
        </w:rPr>
        <w:t xml:space="preserve"> riesgos adicionales </w:t>
      </w:r>
    </w:p>
    <w:p w14:paraId="027D162B" w14:textId="77777777" w:rsidR="005E0E9E" w:rsidRPr="00874668" w:rsidRDefault="00F55F27" w:rsidP="00532508">
      <w:pPr>
        <w:widowControl w:val="0"/>
        <w:spacing w:after="0" w:line="240" w:lineRule="auto"/>
        <w:ind w:left="720"/>
        <w:jc w:val="both"/>
        <w:rPr>
          <w:lang w:val="es-CR"/>
        </w:rPr>
      </w:pPr>
      <w:r w:rsidRPr="00874668">
        <w:rPr>
          <w:lang w:val="es-CR"/>
        </w:rPr>
        <w:t xml:space="preserve">Esta información debe presentarse para un plazo que abarque la totalidad de los valores </w:t>
      </w:r>
      <w:r w:rsidR="006F5933" w:rsidRPr="00874668">
        <w:rPr>
          <w:lang w:val="es-CR"/>
        </w:rPr>
        <w:t>que se pretenden emitir sustentados en dichas proyecciones y debe incluir</w:t>
      </w:r>
      <w:r w:rsidR="005E0E9E" w:rsidRPr="00874668">
        <w:rPr>
          <w:lang w:val="es-CR"/>
        </w:rPr>
        <w:t xml:space="preserve"> el detalle de</w:t>
      </w:r>
      <w:r w:rsidR="006F5933" w:rsidRPr="00874668">
        <w:rPr>
          <w:lang w:val="es-CR"/>
        </w:rPr>
        <w:t xml:space="preserve"> los supuestos utilizados para su elaboración. </w:t>
      </w:r>
      <w:r w:rsidR="005E0E9E" w:rsidRPr="00874668">
        <w:rPr>
          <w:lang w:val="es-CR"/>
        </w:rPr>
        <w:t xml:space="preserve"> Con respecto a los supuestos empleados se recomienda considerar lo siguiente:</w:t>
      </w:r>
    </w:p>
    <w:p w14:paraId="027D162C" w14:textId="77777777" w:rsidR="000520BF" w:rsidRPr="00874668" w:rsidRDefault="000520BF" w:rsidP="00532508">
      <w:pPr>
        <w:widowControl w:val="0"/>
        <w:spacing w:after="0" w:line="240" w:lineRule="auto"/>
        <w:ind w:left="720"/>
        <w:jc w:val="both"/>
        <w:rPr>
          <w:lang w:val="es-CR"/>
        </w:rPr>
      </w:pPr>
    </w:p>
    <w:p w14:paraId="027D162D" w14:textId="77777777" w:rsidR="006F5933" w:rsidRPr="00874668" w:rsidRDefault="006F5933" w:rsidP="00532508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/>
        <w:jc w:val="both"/>
        <w:rPr>
          <w:lang w:val="es-CR"/>
        </w:rPr>
      </w:pPr>
      <w:r w:rsidRPr="00874668">
        <w:rPr>
          <w:lang w:val="es-CR"/>
        </w:rPr>
        <w:t xml:space="preserve">Se debe </w:t>
      </w:r>
      <w:r w:rsidR="00F01000" w:rsidRPr="00874668">
        <w:rPr>
          <w:lang w:val="es-CR"/>
        </w:rPr>
        <w:t xml:space="preserve">incluir </w:t>
      </w:r>
      <w:r w:rsidRPr="00874668">
        <w:rPr>
          <w:lang w:val="es-CR"/>
        </w:rPr>
        <w:t xml:space="preserve"> </w:t>
      </w:r>
      <w:r w:rsidR="00F01000" w:rsidRPr="00874668">
        <w:rPr>
          <w:lang w:val="es-CR"/>
        </w:rPr>
        <w:t xml:space="preserve">la fuente de </w:t>
      </w:r>
      <w:r w:rsidRPr="00874668">
        <w:rPr>
          <w:lang w:val="es-CR"/>
        </w:rPr>
        <w:t>la información sobre el análisis técnico, del mercado, contratos, o cualquier otra, sobre la que se basan los supuestos utilizados</w:t>
      </w:r>
      <w:r w:rsidR="00F01000" w:rsidRPr="00874668">
        <w:rPr>
          <w:lang w:val="es-CR"/>
        </w:rPr>
        <w:t>, en caso de que aplique</w:t>
      </w:r>
      <w:r w:rsidRPr="00874668">
        <w:rPr>
          <w:lang w:val="es-CR"/>
        </w:rPr>
        <w:t xml:space="preserve">. </w:t>
      </w:r>
    </w:p>
    <w:p w14:paraId="027D162E" w14:textId="77777777" w:rsidR="005E0E9E" w:rsidRPr="00874668" w:rsidRDefault="005E0E9E" w:rsidP="00532508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/>
        <w:jc w:val="both"/>
        <w:rPr>
          <w:lang w:val="es-CR"/>
        </w:rPr>
      </w:pPr>
      <w:r w:rsidRPr="00874668">
        <w:rPr>
          <w:lang w:val="es-CR"/>
        </w:rPr>
        <w:t>Se deben revelar con un nivel de detalle tal que permita a un tercero evaluar el comportamiento del flujo y de los estados financieros proyectados y crear sus propios ejercicios de sensibilización.</w:t>
      </w:r>
    </w:p>
    <w:p w14:paraId="027D162F" w14:textId="77777777" w:rsidR="00711604" w:rsidRPr="00874668" w:rsidRDefault="00711604" w:rsidP="00532508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/>
        <w:jc w:val="both"/>
        <w:rPr>
          <w:lang w:val="es-CR"/>
        </w:rPr>
      </w:pPr>
      <w:r w:rsidRPr="00874668">
        <w:rPr>
          <w:lang w:val="es-CR"/>
        </w:rPr>
        <w:t>Se deben explicar como parte de los supuestos los factores que podrían incidir en el comportamiento estimado de los flujos.</w:t>
      </w:r>
    </w:p>
    <w:p w14:paraId="027D1630" w14:textId="77777777" w:rsidR="00711604" w:rsidRPr="00874668" w:rsidRDefault="00711604" w:rsidP="00532508">
      <w:pPr>
        <w:pStyle w:val="ListParagraph"/>
        <w:widowControl w:val="0"/>
        <w:spacing w:after="0" w:line="240" w:lineRule="auto"/>
        <w:ind w:left="1800"/>
        <w:jc w:val="both"/>
        <w:rPr>
          <w:lang w:val="es-CR"/>
        </w:rPr>
      </w:pPr>
    </w:p>
    <w:p w14:paraId="027D1631" w14:textId="77777777" w:rsidR="00EB70F2" w:rsidRPr="00874668" w:rsidRDefault="00EB70F2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32" w14:textId="77777777" w:rsidR="007121C5" w:rsidRPr="00874668" w:rsidRDefault="007121C5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lastRenderedPageBreak/>
        <w:t>Certificaci</w:t>
      </w:r>
      <w:r w:rsidR="000624CF" w:rsidRPr="00874668">
        <w:rPr>
          <w:b/>
          <w:lang w:val="es-CR"/>
        </w:rPr>
        <w:t>ón notarial del acta del órgano competente en la que se acordó realizar oferta pública de la emisión</w:t>
      </w:r>
    </w:p>
    <w:p w14:paraId="027D1633" w14:textId="77777777" w:rsidR="0089026D" w:rsidRPr="00874668" w:rsidRDefault="0089026D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34" w14:textId="77777777" w:rsidR="0089026D" w:rsidRPr="00874668" w:rsidRDefault="0089026D" w:rsidP="00532508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Con la revisión de este requisito lo que se pretende es verificar que la decisión de realizar oferta pública de la emisión haya sido tomada por el órgano competen</w:t>
      </w:r>
      <w:r w:rsidR="0063302F" w:rsidRPr="00874668">
        <w:rPr>
          <w:lang w:val="es-CR"/>
        </w:rPr>
        <w:t>te del futuro emisor (consejo de administración en el caso de emisiones de deuda o asamblea de accionistas en el caso de emisiones de acciones</w:t>
      </w:r>
      <w:r w:rsidR="00994760" w:rsidRPr="00874668">
        <w:rPr>
          <w:lang w:val="es-CR"/>
        </w:rPr>
        <w:t xml:space="preserve"> y bonos convertibles en acciones</w:t>
      </w:r>
      <w:r w:rsidR="0063302F" w:rsidRPr="00874668">
        <w:rPr>
          <w:lang w:val="es-CR"/>
        </w:rPr>
        <w:t>)</w:t>
      </w:r>
      <w:r w:rsidR="000520BF" w:rsidRPr="00874668">
        <w:rPr>
          <w:lang w:val="es-CR"/>
        </w:rPr>
        <w:t>,</w:t>
      </w:r>
      <w:r w:rsidR="0063302F" w:rsidRPr="00874668">
        <w:rPr>
          <w:lang w:val="es-CR"/>
        </w:rPr>
        <w:t xml:space="preserve"> que </w:t>
      </w:r>
      <w:r w:rsidR="000520BF" w:rsidRPr="00874668">
        <w:rPr>
          <w:lang w:val="es-CR"/>
        </w:rPr>
        <w:t xml:space="preserve">el acuerdo tomado incluya cierta información mínima y que lo revelado en </w:t>
      </w:r>
      <w:r w:rsidR="0063302F" w:rsidRPr="00874668">
        <w:rPr>
          <w:lang w:val="es-CR"/>
        </w:rPr>
        <w:t xml:space="preserve">el prospecto sea consistente con los términos acordados por </w:t>
      </w:r>
      <w:r w:rsidR="000520BF" w:rsidRPr="00874668">
        <w:rPr>
          <w:lang w:val="es-CR"/>
        </w:rPr>
        <w:t xml:space="preserve">ese </w:t>
      </w:r>
      <w:r w:rsidR="0063302F" w:rsidRPr="00874668">
        <w:rPr>
          <w:lang w:val="es-CR"/>
        </w:rPr>
        <w:t>órgano.</w:t>
      </w:r>
    </w:p>
    <w:p w14:paraId="027D1635" w14:textId="77777777" w:rsidR="0063302F" w:rsidRPr="00874668" w:rsidRDefault="0063302F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36" w14:textId="77777777" w:rsidR="0063302F" w:rsidRPr="00874668" w:rsidRDefault="0063302F" w:rsidP="00532508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Independientemente </w:t>
      </w:r>
      <w:r w:rsidR="000520BF" w:rsidRPr="00874668">
        <w:rPr>
          <w:lang w:val="es-CR"/>
        </w:rPr>
        <w:t>del tipo de emisión, el acuerdo del órgano competente debe indicar como mínimo:</w:t>
      </w:r>
    </w:p>
    <w:p w14:paraId="027D1637" w14:textId="77777777" w:rsidR="000520BF" w:rsidRPr="00874668" w:rsidRDefault="000520BF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38" w14:textId="77777777" w:rsidR="000520BF" w:rsidRPr="00874668" w:rsidRDefault="000520BF" w:rsidP="005325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Monto de la emisión o programa</w:t>
      </w:r>
    </w:p>
    <w:p w14:paraId="027D1639" w14:textId="77777777" w:rsidR="009C5FC8" w:rsidRPr="00874668" w:rsidRDefault="009C5FC8" w:rsidP="005325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Decisión de realizar oferta pública </w:t>
      </w:r>
    </w:p>
    <w:p w14:paraId="027D163A" w14:textId="77777777" w:rsidR="009C5FC8" w:rsidRPr="00874668" w:rsidRDefault="009C5FC8" w:rsidP="005325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Características de la emisión o </w:t>
      </w:r>
      <w:r w:rsidR="00D96FF9" w:rsidRPr="00874668">
        <w:rPr>
          <w:lang w:val="es-CR"/>
        </w:rPr>
        <w:t xml:space="preserve">bien </w:t>
      </w:r>
      <w:r w:rsidRPr="00874668">
        <w:rPr>
          <w:lang w:val="es-CR"/>
        </w:rPr>
        <w:t xml:space="preserve">delegación de la potestad para definir dichas características </w:t>
      </w:r>
      <w:r w:rsidR="00644461">
        <w:rPr>
          <w:lang w:val="es-CR"/>
        </w:rPr>
        <w:t xml:space="preserve">y para modificarlas en caso de que así se requiera, </w:t>
      </w:r>
      <w:r w:rsidRPr="00874668">
        <w:rPr>
          <w:lang w:val="es-CR"/>
        </w:rPr>
        <w:t xml:space="preserve">en </w:t>
      </w:r>
      <w:r w:rsidR="0064271D" w:rsidRPr="00874668">
        <w:rPr>
          <w:lang w:val="es-CR"/>
        </w:rPr>
        <w:t>la administración de la empresa</w:t>
      </w:r>
      <w:r w:rsidRPr="00874668">
        <w:rPr>
          <w:lang w:val="es-CR"/>
        </w:rPr>
        <w:t xml:space="preserve"> si se trata de una emisión de deu</w:t>
      </w:r>
      <w:r w:rsidR="00D96FF9" w:rsidRPr="00874668">
        <w:rPr>
          <w:lang w:val="es-CR"/>
        </w:rPr>
        <w:t>da</w:t>
      </w:r>
      <w:r w:rsidR="00C67528">
        <w:rPr>
          <w:rStyle w:val="FootnoteReference"/>
          <w:lang w:val="es-CR"/>
        </w:rPr>
        <w:footnoteReference w:id="1"/>
      </w:r>
      <w:r w:rsidR="0064271D" w:rsidRPr="00874668">
        <w:rPr>
          <w:lang w:val="es-CR"/>
        </w:rPr>
        <w:t>,</w:t>
      </w:r>
      <w:r w:rsidR="00D96FF9" w:rsidRPr="00874668">
        <w:rPr>
          <w:lang w:val="es-CR"/>
        </w:rPr>
        <w:t xml:space="preserve"> o en la junta directiva en el</w:t>
      </w:r>
      <w:r w:rsidRPr="00874668">
        <w:rPr>
          <w:lang w:val="es-CR"/>
        </w:rPr>
        <w:t xml:space="preserve"> caso de una emisión de acciones.</w:t>
      </w:r>
      <w:r w:rsidR="00D96FF9" w:rsidRPr="00874668">
        <w:rPr>
          <w:lang w:val="es-CR"/>
        </w:rPr>
        <w:t xml:space="preserve"> Sobre este aspecto</w:t>
      </w:r>
      <w:r w:rsidR="0064271D" w:rsidRPr="00874668">
        <w:rPr>
          <w:lang w:val="es-CR"/>
        </w:rPr>
        <w:t xml:space="preserve"> conviene resaltar que</w:t>
      </w:r>
      <w:r w:rsidR="00D96FF9" w:rsidRPr="00874668">
        <w:rPr>
          <w:lang w:val="es-CR"/>
        </w:rPr>
        <w:t xml:space="preserve"> </w:t>
      </w:r>
      <w:r w:rsidR="0064271D" w:rsidRPr="00874668">
        <w:rPr>
          <w:lang w:val="es-CR"/>
        </w:rPr>
        <w:t xml:space="preserve">dicha </w:t>
      </w:r>
      <w:r w:rsidR="00D96FF9" w:rsidRPr="00874668">
        <w:rPr>
          <w:lang w:val="es-CR"/>
        </w:rPr>
        <w:t xml:space="preserve">delegación </w:t>
      </w:r>
      <w:r w:rsidR="0064271D" w:rsidRPr="00874668">
        <w:rPr>
          <w:lang w:val="es-CR"/>
        </w:rPr>
        <w:t>ha demostrado ser un aspecto conveniente en la práctica, pues brinda al emisor mayor flexibilidad</w:t>
      </w:r>
      <w:r w:rsidR="00AC6E35" w:rsidRPr="00874668">
        <w:rPr>
          <w:lang w:val="es-CR"/>
        </w:rPr>
        <w:t xml:space="preserve"> en el proceso de autorización de oferta pública</w:t>
      </w:r>
      <w:r w:rsidR="0064271D" w:rsidRPr="00874668">
        <w:rPr>
          <w:lang w:val="es-CR"/>
        </w:rPr>
        <w:t>. En caso de darse esta delegación, deberá aportarse además el documento</w:t>
      </w:r>
      <w:r w:rsidR="00AC6E35" w:rsidRPr="00874668">
        <w:rPr>
          <w:rStyle w:val="FootnoteReference"/>
          <w:lang w:val="es-CR"/>
        </w:rPr>
        <w:footnoteReference w:id="2"/>
      </w:r>
      <w:r w:rsidR="0064271D" w:rsidRPr="00874668">
        <w:rPr>
          <w:lang w:val="es-CR"/>
        </w:rPr>
        <w:t xml:space="preserve"> (emisiones de deuda) o la certificación notarial del acuerdo de junta directiva (emisiones de acciones)  en el que consten las características acordadas. </w:t>
      </w:r>
    </w:p>
    <w:p w14:paraId="027D163B" w14:textId="77777777" w:rsidR="00994760" w:rsidRPr="00874668" w:rsidRDefault="00994760" w:rsidP="005325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En el caso de bonos convertibles en acciones</w:t>
      </w:r>
      <w:r w:rsidR="00D737D9" w:rsidRPr="00874668">
        <w:rPr>
          <w:lang w:val="es-CR"/>
        </w:rPr>
        <w:t xml:space="preserve"> y de acciones comunes, </w:t>
      </w:r>
      <w:r w:rsidRPr="00874668">
        <w:rPr>
          <w:lang w:val="es-CR"/>
        </w:rPr>
        <w:t xml:space="preserve"> el acta de asamblea de accionistas debe indicar además si se otorgó el de</w:t>
      </w:r>
      <w:r w:rsidR="00406F9A" w:rsidRPr="00874668">
        <w:rPr>
          <w:lang w:val="es-CR"/>
        </w:rPr>
        <w:t>recho de suscripción preferente y el plazo concedido; de lo contrario, deberá indicar las limitaciones existentes para ejercer este derecho.</w:t>
      </w:r>
    </w:p>
    <w:p w14:paraId="027D163C" w14:textId="77777777" w:rsidR="00D5009A" w:rsidRPr="00874668" w:rsidRDefault="00D5009A" w:rsidP="00D5009A">
      <w:pPr>
        <w:pStyle w:val="ListParagraph"/>
        <w:spacing w:after="0" w:line="240" w:lineRule="auto"/>
        <w:ind w:left="1080"/>
        <w:jc w:val="both"/>
        <w:rPr>
          <w:lang w:val="es-CR"/>
        </w:rPr>
      </w:pPr>
    </w:p>
    <w:p w14:paraId="027D163D" w14:textId="77777777" w:rsidR="00D360FB" w:rsidRPr="00874668" w:rsidRDefault="00D360FB" w:rsidP="00532508">
      <w:pPr>
        <w:spacing w:after="0" w:line="240" w:lineRule="auto"/>
        <w:ind w:left="720"/>
        <w:jc w:val="both"/>
        <w:rPr>
          <w:lang w:val="es-CR"/>
        </w:rPr>
      </w:pPr>
      <w:r w:rsidRPr="00874668">
        <w:rPr>
          <w:lang w:val="es-CR"/>
        </w:rPr>
        <w:t>El acta del órgano competente debe presentarse mediante una certificación notarial, en la que se verificarán los siguientes aspectos formales:</w:t>
      </w:r>
    </w:p>
    <w:p w14:paraId="027D163E" w14:textId="77777777" w:rsidR="00532508" w:rsidRPr="00874668" w:rsidRDefault="00532508" w:rsidP="00532508">
      <w:pPr>
        <w:spacing w:after="0" w:line="240" w:lineRule="auto"/>
        <w:ind w:left="720"/>
        <w:jc w:val="both"/>
        <w:rPr>
          <w:lang w:val="es-CR"/>
        </w:rPr>
      </w:pPr>
    </w:p>
    <w:p w14:paraId="027D163F" w14:textId="77777777" w:rsidR="00D360FB" w:rsidRPr="00874668" w:rsidRDefault="00D360FB" w:rsidP="005325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Que indique expresamente que el contenido y los términos de los documentos que se están certificando se mantienen vigentes a la fecha de su expedición.</w:t>
      </w:r>
    </w:p>
    <w:p w14:paraId="027D1640" w14:textId="77777777" w:rsidR="00D360FB" w:rsidRPr="00874668" w:rsidRDefault="00D360FB" w:rsidP="005325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Que su antigüedad no sea mayor a 3 meses con respecto a la fecha de presentación de la solicitud de autorización de oferta pública.</w:t>
      </w:r>
    </w:p>
    <w:p w14:paraId="027D1641" w14:textId="77777777" w:rsidR="0089026D" w:rsidRPr="00874668" w:rsidRDefault="0089026D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42" w14:textId="77777777" w:rsidR="00611677" w:rsidRPr="00874668" w:rsidRDefault="00611677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Prospecto</w:t>
      </w:r>
    </w:p>
    <w:p w14:paraId="027D1643" w14:textId="77777777" w:rsidR="00A55573" w:rsidRPr="00874668" w:rsidRDefault="00A55573" w:rsidP="00A55573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44" w14:textId="77777777" w:rsidR="0037197F" w:rsidRPr="00874668" w:rsidRDefault="00A55573" w:rsidP="00A20B19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lastRenderedPageBreak/>
        <w:t>El prospecto es un documento de suma relevancia pues constituye</w:t>
      </w:r>
      <w:r w:rsidR="00256B40" w:rsidRPr="00874668">
        <w:rPr>
          <w:lang w:val="es-CR"/>
        </w:rPr>
        <w:t xml:space="preserve"> </w:t>
      </w:r>
      <w:r w:rsidR="00425C66" w:rsidRPr="00874668">
        <w:rPr>
          <w:lang w:val="es-CR"/>
        </w:rPr>
        <w:t xml:space="preserve">el principal medio para brindar información </w:t>
      </w:r>
      <w:r w:rsidR="0037197F" w:rsidRPr="00874668">
        <w:rPr>
          <w:lang w:val="es-CR"/>
        </w:rPr>
        <w:t xml:space="preserve">a los inversionistas </w:t>
      </w:r>
      <w:r w:rsidR="00425C66" w:rsidRPr="00874668">
        <w:rPr>
          <w:lang w:val="es-CR"/>
        </w:rPr>
        <w:t>sobre l</w:t>
      </w:r>
      <w:r w:rsidR="0037197F" w:rsidRPr="00874668">
        <w:rPr>
          <w:lang w:val="es-CR"/>
        </w:rPr>
        <w:t xml:space="preserve">os valores, </w:t>
      </w:r>
      <w:r w:rsidR="002A5F95" w:rsidRPr="00874668">
        <w:rPr>
          <w:lang w:val="es-CR"/>
        </w:rPr>
        <w:t>la empresa</w:t>
      </w:r>
      <w:r w:rsidR="00425C66" w:rsidRPr="00874668">
        <w:rPr>
          <w:lang w:val="es-CR"/>
        </w:rPr>
        <w:t xml:space="preserve"> emisor</w:t>
      </w:r>
      <w:r w:rsidR="000032F1" w:rsidRPr="00874668">
        <w:rPr>
          <w:lang w:val="es-CR"/>
        </w:rPr>
        <w:t>a</w:t>
      </w:r>
      <w:r w:rsidR="00425C66" w:rsidRPr="00874668">
        <w:rPr>
          <w:lang w:val="es-CR"/>
        </w:rPr>
        <w:t xml:space="preserve"> y los riesgos asociados</w:t>
      </w:r>
      <w:r w:rsidR="009502B0" w:rsidRPr="00874668">
        <w:rPr>
          <w:lang w:val="es-CR"/>
        </w:rPr>
        <w:t>, de forma</w:t>
      </w:r>
      <w:r w:rsidR="00C06C03" w:rsidRPr="00874668">
        <w:rPr>
          <w:lang w:val="es-CR"/>
        </w:rPr>
        <w:t xml:space="preserve"> que estos</w:t>
      </w:r>
      <w:r w:rsidR="0037197F" w:rsidRPr="00874668">
        <w:rPr>
          <w:lang w:val="es-CR"/>
        </w:rPr>
        <w:t xml:space="preserve"> tome</w:t>
      </w:r>
      <w:r w:rsidR="00C06C03" w:rsidRPr="00874668">
        <w:rPr>
          <w:lang w:val="es-CR"/>
        </w:rPr>
        <w:t>n decisio</w:t>
      </w:r>
      <w:r w:rsidR="0037197F" w:rsidRPr="00874668">
        <w:rPr>
          <w:lang w:val="es-CR"/>
        </w:rPr>
        <w:t>n</w:t>
      </w:r>
      <w:r w:rsidR="00C06C03" w:rsidRPr="00874668">
        <w:rPr>
          <w:lang w:val="es-CR"/>
        </w:rPr>
        <w:t>es</w:t>
      </w:r>
      <w:r w:rsidR="0037197F" w:rsidRPr="00874668">
        <w:rPr>
          <w:lang w:val="es-CR"/>
        </w:rPr>
        <w:t xml:space="preserve"> de inversión informada</w:t>
      </w:r>
      <w:r w:rsidR="00C06C03" w:rsidRPr="00874668">
        <w:rPr>
          <w:lang w:val="es-CR"/>
        </w:rPr>
        <w:t>s</w:t>
      </w:r>
      <w:r w:rsidR="0037197F" w:rsidRPr="00874668">
        <w:rPr>
          <w:lang w:val="es-CR"/>
        </w:rPr>
        <w:t>.</w:t>
      </w:r>
    </w:p>
    <w:p w14:paraId="027D1645" w14:textId="77777777" w:rsidR="0037197F" w:rsidRPr="00874668" w:rsidRDefault="0037197F" w:rsidP="00A20B19">
      <w:pPr>
        <w:pStyle w:val="ListParagraph"/>
        <w:spacing w:after="0" w:line="240" w:lineRule="auto"/>
        <w:jc w:val="both"/>
        <w:rPr>
          <w:lang w:val="es-CR"/>
        </w:rPr>
      </w:pPr>
    </w:p>
    <w:p w14:paraId="027D1646" w14:textId="77777777" w:rsidR="00A20B19" w:rsidRPr="00874668" w:rsidRDefault="0037197F" w:rsidP="00A20B19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En primera instancia</w:t>
      </w:r>
      <w:r w:rsidR="009502B0" w:rsidRPr="00874668">
        <w:rPr>
          <w:lang w:val="es-CR"/>
        </w:rPr>
        <w:t>,</w:t>
      </w:r>
      <w:r w:rsidRPr="00874668">
        <w:rPr>
          <w:lang w:val="es-CR"/>
        </w:rPr>
        <w:t xml:space="preserve"> la Superintendencia revisa que dicho documento cumpla con el contenido m</w:t>
      </w:r>
      <w:r w:rsidR="009502B0" w:rsidRPr="00874668">
        <w:rPr>
          <w:lang w:val="es-CR"/>
        </w:rPr>
        <w:t>ínimo establecido en el Acuerdo SGV-A-84-Guía para la</w:t>
      </w:r>
      <w:r w:rsidRPr="00874668">
        <w:rPr>
          <w:lang w:val="es-CR"/>
        </w:rPr>
        <w:t xml:space="preserve"> elab</w:t>
      </w:r>
      <w:r w:rsidR="009502B0" w:rsidRPr="00874668">
        <w:rPr>
          <w:lang w:val="es-CR"/>
        </w:rPr>
        <w:t>oración de prospectos de empresas emisoras</w:t>
      </w:r>
      <w:r w:rsidR="002A5F95" w:rsidRPr="00874668">
        <w:rPr>
          <w:lang w:val="es-CR"/>
        </w:rPr>
        <w:t xml:space="preserve">. Adicionalmente, </w:t>
      </w:r>
      <w:r w:rsidR="00935D87" w:rsidRPr="00874668">
        <w:rPr>
          <w:lang w:val="es-CR"/>
        </w:rPr>
        <w:t xml:space="preserve">verifica que la información </w:t>
      </w:r>
      <w:r w:rsidR="000032F1" w:rsidRPr="00874668">
        <w:rPr>
          <w:lang w:val="es-CR"/>
        </w:rPr>
        <w:t xml:space="preserve">incluida </w:t>
      </w:r>
      <w:r w:rsidR="00935D87" w:rsidRPr="00874668">
        <w:rPr>
          <w:lang w:val="es-CR"/>
        </w:rPr>
        <w:t>en el prospecto sea consistente con el resto de la documentación que acompaña la solicitud de autorizaci</w:t>
      </w:r>
      <w:r w:rsidR="002A5F95" w:rsidRPr="00874668">
        <w:rPr>
          <w:lang w:val="es-CR"/>
        </w:rPr>
        <w:t>ón</w:t>
      </w:r>
      <w:r w:rsidR="006F6F82" w:rsidRPr="00874668">
        <w:rPr>
          <w:lang w:val="es-CR"/>
        </w:rPr>
        <w:t>.</w:t>
      </w:r>
      <w:r w:rsidR="002A5F95" w:rsidRPr="00874668">
        <w:rPr>
          <w:lang w:val="es-CR"/>
        </w:rPr>
        <w:t xml:space="preserve"> </w:t>
      </w:r>
      <w:r w:rsidR="00935D87" w:rsidRPr="00874668">
        <w:rPr>
          <w:lang w:val="es-CR"/>
        </w:rPr>
        <w:t xml:space="preserve"> </w:t>
      </w:r>
      <w:r w:rsidR="006F6F82" w:rsidRPr="00874668">
        <w:rPr>
          <w:lang w:val="es-CR"/>
        </w:rPr>
        <w:t>Finalmente, de la revisión integral de los requisitos aportados</w:t>
      </w:r>
      <w:r w:rsidR="002A5F95" w:rsidRPr="00874668">
        <w:rPr>
          <w:lang w:val="es-CR"/>
        </w:rPr>
        <w:t xml:space="preserve"> así como </w:t>
      </w:r>
      <w:r w:rsidR="006F6F82" w:rsidRPr="00874668">
        <w:rPr>
          <w:lang w:val="es-CR"/>
        </w:rPr>
        <w:t xml:space="preserve">de </w:t>
      </w:r>
      <w:r w:rsidR="002A5F95" w:rsidRPr="00874668">
        <w:rPr>
          <w:lang w:val="es-CR"/>
        </w:rPr>
        <w:t xml:space="preserve">la información disponible </w:t>
      </w:r>
      <w:r w:rsidR="00AF0F31" w:rsidRPr="00874668">
        <w:rPr>
          <w:lang w:val="es-CR"/>
        </w:rPr>
        <w:t xml:space="preserve">de la entidad </w:t>
      </w:r>
      <w:r w:rsidR="006F6F82" w:rsidRPr="00874668">
        <w:rPr>
          <w:lang w:val="es-CR"/>
        </w:rPr>
        <w:t xml:space="preserve">en noticias y en internet, </w:t>
      </w:r>
      <w:r w:rsidR="00CD6B73" w:rsidRPr="00874668">
        <w:rPr>
          <w:lang w:val="es-CR"/>
        </w:rPr>
        <w:t xml:space="preserve">se identifica si </w:t>
      </w:r>
      <w:r w:rsidR="00E15AD6" w:rsidRPr="00874668">
        <w:rPr>
          <w:lang w:val="es-CR"/>
        </w:rPr>
        <w:t xml:space="preserve">se requiere </w:t>
      </w:r>
      <w:r w:rsidR="006F6F82" w:rsidRPr="00874668">
        <w:rPr>
          <w:lang w:val="es-CR"/>
        </w:rPr>
        <w:t xml:space="preserve">solicitar revelaciones </w:t>
      </w:r>
      <w:r w:rsidR="00E15AD6" w:rsidRPr="00874668">
        <w:rPr>
          <w:lang w:val="es-CR"/>
        </w:rPr>
        <w:t xml:space="preserve">o riesgos </w:t>
      </w:r>
      <w:r w:rsidR="006F6F82" w:rsidRPr="00874668">
        <w:rPr>
          <w:lang w:val="es-CR"/>
        </w:rPr>
        <w:t>adicionales</w:t>
      </w:r>
      <w:r w:rsidR="00E15AD6" w:rsidRPr="00874668">
        <w:rPr>
          <w:lang w:val="es-CR"/>
        </w:rPr>
        <w:t xml:space="preserve"> </w:t>
      </w:r>
      <w:r w:rsidR="00AF0F31" w:rsidRPr="00874668">
        <w:rPr>
          <w:lang w:val="es-CR"/>
        </w:rPr>
        <w:t>derivados de su actividad o situación específica,  que constituyan información importante para los inversionistas.</w:t>
      </w:r>
    </w:p>
    <w:p w14:paraId="027D1647" w14:textId="77777777" w:rsidR="00611677" w:rsidRPr="00874668" w:rsidRDefault="00611677" w:rsidP="00611677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48" w14:textId="77777777" w:rsidR="000624CF" w:rsidRPr="00874668" w:rsidRDefault="000624CF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Copia actualizada de los estatutos vigentes</w:t>
      </w:r>
    </w:p>
    <w:p w14:paraId="027D1649" w14:textId="77777777" w:rsidR="00007296" w:rsidRPr="00874668" w:rsidRDefault="00007296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4A" w14:textId="77777777" w:rsidR="00007296" w:rsidRPr="00874668" w:rsidRDefault="00007296" w:rsidP="00532508">
      <w:pPr>
        <w:pStyle w:val="ListParagraph"/>
        <w:spacing w:after="0" w:line="240" w:lineRule="auto"/>
        <w:ind w:hanging="11"/>
        <w:jc w:val="both"/>
        <w:rPr>
          <w:lang w:val="es-CR"/>
        </w:rPr>
      </w:pPr>
      <w:r w:rsidRPr="00874668">
        <w:rPr>
          <w:lang w:val="es-CR"/>
        </w:rPr>
        <w:t xml:space="preserve">Con la revisión de los estatutos vigentes del emisor se pretende </w:t>
      </w:r>
      <w:r w:rsidR="008C237A" w:rsidRPr="00874668">
        <w:rPr>
          <w:lang w:val="es-CR"/>
        </w:rPr>
        <w:t>determinar si las revelaciones del p</w:t>
      </w:r>
      <w:r w:rsidR="002B1A4F" w:rsidRPr="00874668">
        <w:rPr>
          <w:lang w:val="es-CR"/>
        </w:rPr>
        <w:t>rospecto son co</w:t>
      </w:r>
      <w:r w:rsidR="00A120F7" w:rsidRPr="00874668">
        <w:rPr>
          <w:lang w:val="es-CR"/>
        </w:rPr>
        <w:t>nsistentes</w:t>
      </w:r>
      <w:r w:rsidR="002B1A4F" w:rsidRPr="00874668">
        <w:rPr>
          <w:lang w:val="es-CR"/>
        </w:rPr>
        <w:t xml:space="preserve"> </w:t>
      </w:r>
      <w:r w:rsidR="00B33EAB" w:rsidRPr="00874668">
        <w:rPr>
          <w:lang w:val="es-CR"/>
        </w:rPr>
        <w:t>con lo dispuesto en los estatutos</w:t>
      </w:r>
      <w:r w:rsidR="004D150F" w:rsidRPr="00874668">
        <w:rPr>
          <w:lang w:val="es-CR"/>
        </w:rPr>
        <w:t xml:space="preserve"> (por ejemplo, en cuanto al monto de capital social, conformación de la junta directiva</w:t>
      </w:r>
      <w:r w:rsidR="00B33EAB" w:rsidRPr="00874668">
        <w:rPr>
          <w:lang w:val="es-CR"/>
        </w:rPr>
        <w:t xml:space="preserve"> </w:t>
      </w:r>
      <w:r w:rsidR="00A97FEB" w:rsidRPr="00874668">
        <w:rPr>
          <w:lang w:val="es-CR"/>
        </w:rPr>
        <w:t>y</w:t>
      </w:r>
      <w:r w:rsidR="004D150F" w:rsidRPr="00874668">
        <w:rPr>
          <w:lang w:val="es-CR"/>
        </w:rPr>
        <w:t xml:space="preserve"> representantes legales)</w:t>
      </w:r>
      <w:r w:rsidR="00D737D9" w:rsidRPr="00874668">
        <w:rPr>
          <w:lang w:val="es-CR"/>
        </w:rPr>
        <w:t>,</w:t>
      </w:r>
      <w:r w:rsidR="00A97FEB" w:rsidRPr="00874668">
        <w:rPr>
          <w:lang w:val="es-CR"/>
        </w:rPr>
        <w:t xml:space="preserve"> si es necesario</w:t>
      </w:r>
      <w:r w:rsidR="00B33EAB" w:rsidRPr="00874668">
        <w:rPr>
          <w:lang w:val="es-CR"/>
        </w:rPr>
        <w:t xml:space="preserve"> solicitar alguna revelación adicional en  el prospecto que se relevante para conocimiento de los inversionistas</w:t>
      </w:r>
      <w:r w:rsidR="00D737D9" w:rsidRPr="00874668">
        <w:rPr>
          <w:lang w:val="es-CR"/>
        </w:rPr>
        <w:t>, así como tener una noción de la estructura de gobernanza de la sociedad a inscribir</w:t>
      </w:r>
      <w:r w:rsidR="00B33EAB" w:rsidRPr="00874668">
        <w:rPr>
          <w:lang w:val="es-CR"/>
        </w:rPr>
        <w:t>.</w:t>
      </w:r>
    </w:p>
    <w:p w14:paraId="027D164B" w14:textId="77777777" w:rsidR="008C237A" w:rsidRPr="00874668" w:rsidRDefault="008C237A" w:rsidP="00532508">
      <w:pPr>
        <w:pStyle w:val="ListParagraph"/>
        <w:spacing w:after="0" w:line="240" w:lineRule="auto"/>
        <w:ind w:hanging="11"/>
        <w:jc w:val="both"/>
        <w:rPr>
          <w:lang w:val="es-CR"/>
        </w:rPr>
      </w:pPr>
    </w:p>
    <w:p w14:paraId="027D164C" w14:textId="77777777" w:rsidR="008C237A" w:rsidRPr="00874668" w:rsidRDefault="008C237A" w:rsidP="00532508">
      <w:pPr>
        <w:pStyle w:val="ListParagraph"/>
        <w:spacing w:after="0" w:line="240" w:lineRule="auto"/>
        <w:ind w:hanging="11"/>
        <w:jc w:val="both"/>
        <w:rPr>
          <w:lang w:val="es-CR"/>
        </w:rPr>
      </w:pPr>
      <w:r w:rsidRPr="00874668">
        <w:rPr>
          <w:lang w:val="es-CR"/>
        </w:rPr>
        <w:t>En el caso de emisores accionarios</w:t>
      </w:r>
      <w:r w:rsidR="00B326EF" w:rsidRPr="00874668">
        <w:rPr>
          <w:lang w:val="es-CR"/>
        </w:rPr>
        <w:t xml:space="preserve">, se revisan aspectos tales </w:t>
      </w:r>
      <w:r w:rsidR="004D150F" w:rsidRPr="00874668">
        <w:rPr>
          <w:lang w:val="es-CR"/>
        </w:rPr>
        <w:t xml:space="preserve">como </w:t>
      </w:r>
      <w:r w:rsidR="00B33EAB" w:rsidRPr="00874668">
        <w:rPr>
          <w:lang w:val="es-CR"/>
        </w:rPr>
        <w:t xml:space="preserve">las </w:t>
      </w:r>
      <w:r w:rsidR="00B326EF" w:rsidRPr="00874668">
        <w:rPr>
          <w:lang w:val="es-CR"/>
        </w:rPr>
        <w:t>reglas para la celebración de asambleas de accionistas</w:t>
      </w:r>
      <w:r w:rsidR="00B33EAB" w:rsidRPr="00874668">
        <w:rPr>
          <w:lang w:val="es-CR"/>
        </w:rPr>
        <w:t xml:space="preserve"> y si existen</w:t>
      </w:r>
      <w:r w:rsidR="00B326EF" w:rsidRPr="00874668">
        <w:rPr>
          <w:lang w:val="es-CR"/>
        </w:rPr>
        <w:t xml:space="preserve"> limitaciones al ejercicio de los derechos corporativos.</w:t>
      </w:r>
      <w:r w:rsidRPr="00874668">
        <w:rPr>
          <w:lang w:val="es-CR"/>
        </w:rPr>
        <w:t xml:space="preserve"> </w:t>
      </w:r>
    </w:p>
    <w:p w14:paraId="027D164D" w14:textId="77777777" w:rsidR="00007296" w:rsidRPr="00874668" w:rsidRDefault="00007296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4E" w14:textId="77777777" w:rsidR="000624CF" w:rsidRPr="00874668" w:rsidRDefault="000624CF" w:rsidP="00532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Garantías</w:t>
      </w:r>
    </w:p>
    <w:p w14:paraId="027D164F" w14:textId="77777777" w:rsidR="00532508" w:rsidRPr="00874668" w:rsidRDefault="00532508" w:rsidP="00532508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50" w14:textId="77777777" w:rsidR="00473E2F" w:rsidRPr="00874668" w:rsidRDefault="00424CAD" w:rsidP="00532508">
      <w:pPr>
        <w:spacing w:after="0" w:line="240" w:lineRule="auto"/>
        <w:ind w:left="720"/>
        <w:jc w:val="both"/>
        <w:rPr>
          <w:lang w:val="es-CR"/>
        </w:rPr>
      </w:pPr>
      <w:r w:rsidRPr="00874668">
        <w:rPr>
          <w:lang w:val="es-CR"/>
        </w:rPr>
        <w:t xml:space="preserve">En caso de que la emisión cuente con alguna garantía específica, se corrobora que exista suficiente información para los inversionistas en cuanto al </w:t>
      </w:r>
      <w:r w:rsidR="00473E2F" w:rsidRPr="00874668">
        <w:rPr>
          <w:lang w:val="es-CR"/>
        </w:rPr>
        <w:t>tipo de garantía, porcentaje que representa de la emi</w:t>
      </w:r>
      <w:r w:rsidR="004F721C" w:rsidRPr="00874668">
        <w:rPr>
          <w:lang w:val="es-CR"/>
        </w:rPr>
        <w:t xml:space="preserve">sión, su importe (si aplica), </w:t>
      </w:r>
      <w:r w:rsidR="00D70C5B" w:rsidRPr="00874668">
        <w:rPr>
          <w:lang w:val="es-CR"/>
        </w:rPr>
        <w:t>plazo por el cual se otorga</w:t>
      </w:r>
      <w:r w:rsidR="00D6252E" w:rsidRPr="00874668">
        <w:rPr>
          <w:lang w:val="es-CR"/>
        </w:rPr>
        <w:t xml:space="preserve"> y</w:t>
      </w:r>
      <w:r w:rsidR="00D70C5B" w:rsidRPr="00874668">
        <w:rPr>
          <w:lang w:val="es-CR"/>
        </w:rPr>
        <w:t xml:space="preserve"> </w:t>
      </w:r>
      <w:r w:rsidR="008248C0" w:rsidRPr="00874668">
        <w:rPr>
          <w:lang w:val="es-CR"/>
        </w:rPr>
        <w:t xml:space="preserve"> </w:t>
      </w:r>
      <w:r w:rsidR="004F721C" w:rsidRPr="00874668">
        <w:rPr>
          <w:lang w:val="es-CR"/>
        </w:rPr>
        <w:t>p</w:t>
      </w:r>
      <w:r w:rsidR="00473E2F" w:rsidRPr="00874668">
        <w:rPr>
          <w:lang w:val="es-CR"/>
        </w:rPr>
        <w:t>rocedimiento que deben seguir los inversio</w:t>
      </w:r>
      <w:r w:rsidR="004F721C" w:rsidRPr="00874668">
        <w:rPr>
          <w:lang w:val="es-CR"/>
        </w:rPr>
        <w:t>nistas para ejecutar</w:t>
      </w:r>
      <w:r w:rsidR="008248C0" w:rsidRPr="00874668">
        <w:rPr>
          <w:lang w:val="es-CR"/>
        </w:rPr>
        <w:t xml:space="preserve"> </w:t>
      </w:r>
      <w:r w:rsidR="004F721C" w:rsidRPr="00874668">
        <w:rPr>
          <w:lang w:val="es-CR"/>
        </w:rPr>
        <w:t>la</w:t>
      </w:r>
      <w:r w:rsidR="00473E2F" w:rsidRPr="00874668">
        <w:rPr>
          <w:lang w:val="es-CR"/>
        </w:rPr>
        <w:t xml:space="preserve"> </w:t>
      </w:r>
      <w:r w:rsidR="008248C0" w:rsidRPr="00874668">
        <w:rPr>
          <w:lang w:val="es-CR"/>
        </w:rPr>
        <w:t>garantía</w:t>
      </w:r>
      <w:r w:rsidR="00D6252E" w:rsidRPr="00874668">
        <w:rPr>
          <w:lang w:val="es-CR"/>
        </w:rPr>
        <w:t>.</w:t>
      </w:r>
      <w:r w:rsidR="008248C0" w:rsidRPr="00874668">
        <w:rPr>
          <w:lang w:val="es-CR"/>
        </w:rPr>
        <w:t xml:space="preserve"> </w:t>
      </w:r>
      <w:r w:rsidR="004F721C" w:rsidRPr="00874668">
        <w:rPr>
          <w:lang w:val="es-CR"/>
        </w:rPr>
        <w:t>Adicionalmente, se revisa que la información referente a este tema en todos los documentos de la oferta sea consistente y no existan discrepancias.</w:t>
      </w:r>
    </w:p>
    <w:p w14:paraId="027D1651" w14:textId="77777777" w:rsidR="00424CAD" w:rsidRPr="00874668" w:rsidRDefault="00424CAD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52" w14:textId="77777777" w:rsidR="00D70C5B" w:rsidRPr="00874668" w:rsidRDefault="00D70C5B" w:rsidP="00532508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En caso de que las garantías se otorguen a través de un contrato de garantía real o un fideicomiso de garantía, se corrobora, entre otras cosas:</w:t>
      </w:r>
    </w:p>
    <w:p w14:paraId="027D1653" w14:textId="77777777" w:rsidR="00D70C5B" w:rsidRPr="00874668" w:rsidRDefault="00D70C5B" w:rsidP="00532508">
      <w:pPr>
        <w:pStyle w:val="ListParagraph"/>
        <w:spacing w:after="0" w:line="240" w:lineRule="auto"/>
        <w:jc w:val="both"/>
        <w:rPr>
          <w:lang w:val="es-CR"/>
        </w:rPr>
      </w:pPr>
    </w:p>
    <w:p w14:paraId="027D1654" w14:textId="77777777" w:rsidR="007552AB" w:rsidRPr="00874668" w:rsidRDefault="00C437FD" w:rsidP="00532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C</w:t>
      </w:r>
      <w:r w:rsidR="007132D7" w:rsidRPr="00874668">
        <w:rPr>
          <w:lang w:val="es-CR"/>
        </w:rPr>
        <w:t>apacidad jurídica de las partes para suscribir el c</w:t>
      </w:r>
      <w:r w:rsidR="007552AB" w:rsidRPr="00874668">
        <w:rPr>
          <w:lang w:val="es-CR"/>
        </w:rPr>
        <w:t>ontrato y el objeto del contrato.</w:t>
      </w:r>
    </w:p>
    <w:p w14:paraId="027D1655" w14:textId="77777777" w:rsidR="007132D7" w:rsidRPr="00874668" w:rsidRDefault="007552AB" w:rsidP="00532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Detalle</w:t>
      </w:r>
      <w:r w:rsidR="007132D7" w:rsidRPr="00874668">
        <w:rPr>
          <w:lang w:val="es-CR"/>
        </w:rPr>
        <w:t xml:space="preserve"> </w:t>
      </w:r>
      <w:r w:rsidRPr="00874668">
        <w:rPr>
          <w:lang w:val="es-CR"/>
        </w:rPr>
        <w:t>de los bienes que se dan</w:t>
      </w:r>
      <w:r w:rsidR="007132D7" w:rsidRPr="00874668">
        <w:rPr>
          <w:lang w:val="es-CR"/>
        </w:rPr>
        <w:t xml:space="preserve"> en garantía</w:t>
      </w:r>
      <w:r w:rsidR="00D6252E" w:rsidRPr="00874668">
        <w:rPr>
          <w:lang w:val="es-CR"/>
        </w:rPr>
        <w:t xml:space="preserve"> y si estos cuentan con gravámenes o anotaciones</w:t>
      </w:r>
    </w:p>
    <w:p w14:paraId="027D1656" w14:textId="77777777" w:rsidR="007132D7" w:rsidRPr="00874668" w:rsidRDefault="007132D7" w:rsidP="00532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Que se especifique claramente los derechos así como las responsabilidades y obligaciones de las partes.</w:t>
      </w:r>
    </w:p>
    <w:p w14:paraId="027D1657" w14:textId="77777777" w:rsidR="00037D04" w:rsidRPr="00874668" w:rsidRDefault="00037D04" w:rsidP="00532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Procedimiento de ejecución de la garantía.</w:t>
      </w:r>
    </w:p>
    <w:p w14:paraId="027D1658" w14:textId="77777777" w:rsidR="007132D7" w:rsidRPr="00874668" w:rsidRDefault="00C437FD" w:rsidP="00532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P</w:t>
      </w:r>
      <w:r w:rsidR="007132D7" w:rsidRPr="00874668">
        <w:rPr>
          <w:lang w:val="es-CR"/>
        </w:rPr>
        <w:t>lazo del contrato así como las causales de terminación.</w:t>
      </w:r>
    </w:p>
    <w:p w14:paraId="027D1659" w14:textId="77777777" w:rsidR="001C1EB5" w:rsidRPr="00874668" w:rsidRDefault="001C1EB5" w:rsidP="00532508">
      <w:pPr>
        <w:pStyle w:val="ListParagraph"/>
        <w:spacing w:after="0" w:line="240" w:lineRule="auto"/>
        <w:ind w:left="1080"/>
        <w:jc w:val="both"/>
        <w:rPr>
          <w:lang w:val="es-CR"/>
        </w:rPr>
      </w:pPr>
    </w:p>
    <w:p w14:paraId="027D165A" w14:textId="77777777" w:rsidR="009821AA" w:rsidRPr="00874668" w:rsidRDefault="001301DD" w:rsidP="001301DD">
      <w:pPr>
        <w:spacing w:after="0" w:line="240" w:lineRule="auto"/>
        <w:ind w:left="720"/>
        <w:jc w:val="both"/>
        <w:rPr>
          <w:lang w:val="es-CR"/>
        </w:rPr>
      </w:pPr>
      <w:r w:rsidRPr="00874668">
        <w:rPr>
          <w:lang w:val="es-CR"/>
        </w:rPr>
        <w:t xml:space="preserve">Los contratos relacionados con las garantías podrán presentarse en borrador junto con la solicitud de inscripción, no obstante, una vez emitida la resolución de autorización </w:t>
      </w:r>
      <w:r w:rsidRPr="00874668">
        <w:rPr>
          <w:lang w:val="es-CR"/>
        </w:rPr>
        <w:lastRenderedPageBreak/>
        <w:t xml:space="preserve">deberán remitirse mediante certificación notarial original en el plazo que allí se indique. En este </w:t>
      </w:r>
      <w:r w:rsidR="00E82090" w:rsidRPr="00874668">
        <w:rPr>
          <w:lang w:val="es-CR"/>
        </w:rPr>
        <w:t xml:space="preserve">último </w:t>
      </w:r>
      <w:r w:rsidRPr="00874668">
        <w:rPr>
          <w:lang w:val="es-CR"/>
        </w:rPr>
        <w:t>caso</w:t>
      </w:r>
      <w:r w:rsidR="00E82090" w:rsidRPr="00874668">
        <w:rPr>
          <w:lang w:val="es-CR"/>
        </w:rPr>
        <w:t>,</w:t>
      </w:r>
      <w:r w:rsidRPr="00874668">
        <w:rPr>
          <w:lang w:val="es-CR"/>
        </w:rPr>
        <w:t xml:space="preserve"> se verifica que los términos de los documentos originales coincidan con los de la última versión presentada para la autorización</w:t>
      </w:r>
      <w:r w:rsidR="009821AA" w:rsidRPr="00874668">
        <w:rPr>
          <w:lang w:val="es-CR"/>
        </w:rPr>
        <w:t>.</w:t>
      </w:r>
    </w:p>
    <w:p w14:paraId="027D165B" w14:textId="77777777" w:rsidR="009821AA" w:rsidRPr="00874668" w:rsidRDefault="009821AA" w:rsidP="001301DD">
      <w:pPr>
        <w:spacing w:after="0" w:line="240" w:lineRule="auto"/>
        <w:ind w:left="720"/>
        <w:jc w:val="both"/>
        <w:rPr>
          <w:lang w:val="es-CR"/>
        </w:rPr>
      </w:pPr>
    </w:p>
    <w:p w14:paraId="027D165C" w14:textId="77777777" w:rsidR="00C437FD" w:rsidRPr="00874668" w:rsidRDefault="00604ADF" w:rsidP="001301DD">
      <w:pPr>
        <w:spacing w:after="0" w:line="240" w:lineRule="auto"/>
        <w:ind w:left="720"/>
        <w:jc w:val="both"/>
        <w:rPr>
          <w:lang w:val="es-CR"/>
        </w:rPr>
      </w:pPr>
      <w:r w:rsidRPr="00874668">
        <w:rPr>
          <w:lang w:val="es-CR"/>
        </w:rPr>
        <w:t>Por otro lado</w:t>
      </w:r>
      <w:r w:rsidR="009821AA" w:rsidRPr="00874668">
        <w:rPr>
          <w:lang w:val="es-CR"/>
        </w:rPr>
        <w:t>, las certificaci</w:t>
      </w:r>
      <w:r w:rsidR="002A6720" w:rsidRPr="00874668">
        <w:rPr>
          <w:lang w:val="es-CR"/>
        </w:rPr>
        <w:t>ones notariales que se aporten como parte de la documentación de la garantía</w:t>
      </w:r>
      <w:r w:rsidR="009821AA" w:rsidRPr="00874668">
        <w:rPr>
          <w:lang w:val="es-CR"/>
        </w:rPr>
        <w:t xml:space="preserve"> deberán cumplir</w:t>
      </w:r>
      <w:r w:rsidR="001301DD" w:rsidRPr="00874668">
        <w:rPr>
          <w:lang w:val="es-CR"/>
        </w:rPr>
        <w:t xml:space="preserve"> con ciertos aspectos formales</w:t>
      </w:r>
      <w:r w:rsidR="00B1564E" w:rsidRPr="00874668">
        <w:rPr>
          <w:lang w:val="es-CR"/>
        </w:rPr>
        <w:t xml:space="preserve">, por ejemplo, </w:t>
      </w:r>
      <w:r w:rsidR="001301DD" w:rsidRPr="00874668">
        <w:rPr>
          <w:lang w:val="es-CR"/>
        </w:rPr>
        <w:t xml:space="preserve"> que no tenga</w:t>
      </w:r>
      <w:r w:rsidR="009821AA" w:rsidRPr="00874668">
        <w:rPr>
          <w:lang w:val="es-CR"/>
        </w:rPr>
        <w:t>n</w:t>
      </w:r>
      <w:r w:rsidR="001301DD" w:rsidRPr="00874668">
        <w:rPr>
          <w:lang w:val="es-CR"/>
        </w:rPr>
        <w:t xml:space="preserve"> una antigüedad mayor a tres meses </w:t>
      </w:r>
      <w:r w:rsidR="00B1564E" w:rsidRPr="00874668">
        <w:rPr>
          <w:lang w:val="es-CR"/>
        </w:rPr>
        <w:t>y</w:t>
      </w:r>
      <w:r w:rsidR="001301DD" w:rsidRPr="00874668">
        <w:rPr>
          <w:lang w:val="es-CR"/>
        </w:rPr>
        <w:t xml:space="preserve"> que incluya</w:t>
      </w:r>
      <w:r w:rsidR="009821AA" w:rsidRPr="00874668">
        <w:rPr>
          <w:lang w:val="es-CR"/>
        </w:rPr>
        <w:t>n</w:t>
      </w:r>
      <w:r w:rsidR="00B1564E" w:rsidRPr="00874668">
        <w:rPr>
          <w:lang w:val="es-CR"/>
        </w:rPr>
        <w:t xml:space="preserve"> la indicación expresa de que el contenido y los términos de los documentos que se están certificando se mantienen vigentes a la fecha de su expedición.</w:t>
      </w:r>
    </w:p>
    <w:p w14:paraId="027D165D" w14:textId="77777777" w:rsidR="00B82598" w:rsidRPr="00874668" w:rsidRDefault="00B82598" w:rsidP="00532508">
      <w:pPr>
        <w:spacing w:after="0" w:line="240" w:lineRule="auto"/>
        <w:ind w:left="720"/>
        <w:jc w:val="both"/>
        <w:rPr>
          <w:lang w:val="es-CR"/>
        </w:rPr>
      </w:pPr>
    </w:p>
    <w:p w14:paraId="027D165E" w14:textId="77777777" w:rsidR="008D7726" w:rsidRPr="00874668" w:rsidRDefault="008D7726" w:rsidP="008D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es-CR"/>
        </w:rPr>
      </w:pPr>
      <w:r w:rsidRPr="00874668">
        <w:rPr>
          <w:b/>
          <w:lang w:val="es-CR"/>
        </w:rPr>
        <w:t>Copia del criterio de los auditores externos del emisor con respecto al tratamiento contable de las acciones preferentes como pasivo o patrimonio, de conformidad con las normas contables.</w:t>
      </w:r>
    </w:p>
    <w:p w14:paraId="027D165F" w14:textId="77777777" w:rsidR="008D7726" w:rsidRPr="00874668" w:rsidRDefault="008D7726" w:rsidP="008D7726">
      <w:pPr>
        <w:pStyle w:val="ListParagraph"/>
        <w:spacing w:after="0" w:line="240" w:lineRule="auto"/>
        <w:jc w:val="both"/>
        <w:rPr>
          <w:b/>
          <w:lang w:val="es-CR"/>
        </w:rPr>
      </w:pPr>
    </w:p>
    <w:p w14:paraId="027D1660" w14:textId="77777777" w:rsidR="00F835EE" w:rsidRPr="00874668" w:rsidRDefault="008D7726" w:rsidP="008D7726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>Este criterio aplica únicamente para la inscripción de acciones preferentes y la información que en él se incluye debe ser consistente con las características de la emisión reveladas en el prospecto y en el resto de la documentación presentada</w:t>
      </w:r>
      <w:r w:rsidR="00F835EE" w:rsidRPr="00874668">
        <w:rPr>
          <w:lang w:val="es-CR"/>
        </w:rPr>
        <w:t xml:space="preserve">. </w:t>
      </w:r>
      <w:r w:rsidR="0008636C" w:rsidRPr="00874668">
        <w:rPr>
          <w:lang w:val="es-CR"/>
        </w:rPr>
        <w:t>Dado que este criterio  constituye información relevante para</w:t>
      </w:r>
      <w:r w:rsidR="00F90609" w:rsidRPr="00874668">
        <w:rPr>
          <w:lang w:val="es-CR"/>
        </w:rPr>
        <w:t xml:space="preserve"> los inversionistas, se revisa</w:t>
      </w:r>
      <w:r w:rsidR="0008636C" w:rsidRPr="00874668">
        <w:rPr>
          <w:lang w:val="es-CR"/>
        </w:rPr>
        <w:t xml:space="preserve"> además que el prospec</w:t>
      </w:r>
      <w:r w:rsidR="00F90609" w:rsidRPr="00874668">
        <w:rPr>
          <w:lang w:val="es-CR"/>
        </w:rPr>
        <w:t>to incorpore</w:t>
      </w:r>
      <w:r w:rsidR="0008636C" w:rsidRPr="00874668">
        <w:rPr>
          <w:lang w:val="es-CR"/>
        </w:rPr>
        <w:t xml:space="preserve"> una referencia a dicho documento, así como al tratamiento </w:t>
      </w:r>
      <w:r w:rsidR="00F90609" w:rsidRPr="00874668">
        <w:rPr>
          <w:lang w:val="es-CR"/>
        </w:rPr>
        <w:t xml:space="preserve">contable </w:t>
      </w:r>
      <w:r w:rsidR="0008636C" w:rsidRPr="00874668">
        <w:rPr>
          <w:lang w:val="es-CR"/>
        </w:rPr>
        <w:t>que tendrá la emisión</w:t>
      </w:r>
      <w:r w:rsidR="00F90609" w:rsidRPr="00874668">
        <w:rPr>
          <w:lang w:val="es-CR"/>
        </w:rPr>
        <w:t xml:space="preserve"> de acciones preferentes</w:t>
      </w:r>
      <w:r w:rsidR="0008636C" w:rsidRPr="00874668">
        <w:rPr>
          <w:lang w:val="es-CR"/>
        </w:rPr>
        <w:t>.</w:t>
      </w:r>
    </w:p>
    <w:p w14:paraId="027D1661" w14:textId="77777777" w:rsidR="00F835EE" w:rsidRPr="00874668" w:rsidRDefault="00F835EE" w:rsidP="008D7726">
      <w:pPr>
        <w:pStyle w:val="ListParagraph"/>
        <w:spacing w:after="0" w:line="240" w:lineRule="auto"/>
        <w:jc w:val="both"/>
        <w:rPr>
          <w:lang w:val="es-CR"/>
        </w:rPr>
      </w:pPr>
    </w:p>
    <w:p w14:paraId="027D1662" w14:textId="77777777" w:rsidR="008D7726" w:rsidRPr="00F11732" w:rsidRDefault="00F835EE" w:rsidP="008D7726">
      <w:pPr>
        <w:pStyle w:val="ListParagraph"/>
        <w:spacing w:after="0" w:line="240" w:lineRule="auto"/>
        <w:jc w:val="both"/>
        <w:rPr>
          <w:lang w:val="es-CR"/>
        </w:rPr>
      </w:pPr>
      <w:r w:rsidRPr="00874668">
        <w:rPr>
          <w:lang w:val="es-CR"/>
        </w:rPr>
        <w:t xml:space="preserve">En caso de que el criterio concluya que el tratamiento es similar al de un pasivo, se verifica que el nivel de endeudamiento de la empresa, considerando </w:t>
      </w:r>
      <w:r w:rsidR="00F90609" w:rsidRPr="00874668">
        <w:rPr>
          <w:lang w:val="es-CR"/>
        </w:rPr>
        <w:t>la</w:t>
      </w:r>
      <w:r w:rsidRPr="00874668">
        <w:rPr>
          <w:lang w:val="es-CR"/>
        </w:rPr>
        <w:t xml:space="preserve"> emisión</w:t>
      </w:r>
      <w:r w:rsidR="00F90609" w:rsidRPr="00874668">
        <w:rPr>
          <w:lang w:val="es-CR"/>
        </w:rPr>
        <w:t xml:space="preserve"> de acciones preferentes</w:t>
      </w:r>
      <w:r w:rsidRPr="00874668">
        <w:rPr>
          <w:lang w:val="es-CR"/>
        </w:rPr>
        <w:t xml:space="preserve"> y el resto de los pasivos, no exceda cuatro veces su capital y reservas.</w:t>
      </w:r>
    </w:p>
    <w:p w14:paraId="027D1663" w14:textId="77777777" w:rsidR="00B82598" w:rsidRPr="00B82598" w:rsidRDefault="00B82598" w:rsidP="00532508">
      <w:pPr>
        <w:spacing w:after="0" w:line="240" w:lineRule="auto"/>
        <w:ind w:left="720"/>
        <w:jc w:val="both"/>
        <w:rPr>
          <w:lang w:val="es-CR"/>
        </w:rPr>
      </w:pPr>
    </w:p>
    <w:sectPr w:rsidR="00B82598" w:rsidRPr="00B82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D1666" w14:textId="77777777" w:rsidR="00492A2F" w:rsidRDefault="00492A2F" w:rsidP="00AC6E35">
      <w:pPr>
        <w:spacing w:after="0" w:line="240" w:lineRule="auto"/>
      </w:pPr>
      <w:r>
        <w:separator/>
      </w:r>
    </w:p>
  </w:endnote>
  <w:endnote w:type="continuationSeparator" w:id="0">
    <w:p w14:paraId="027D1667" w14:textId="77777777" w:rsidR="00492A2F" w:rsidRDefault="00492A2F" w:rsidP="00AC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D1664" w14:textId="77777777" w:rsidR="00492A2F" w:rsidRDefault="00492A2F" w:rsidP="00AC6E35">
      <w:pPr>
        <w:spacing w:after="0" w:line="240" w:lineRule="auto"/>
      </w:pPr>
      <w:r>
        <w:separator/>
      </w:r>
    </w:p>
  </w:footnote>
  <w:footnote w:type="continuationSeparator" w:id="0">
    <w:p w14:paraId="027D1665" w14:textId="77777777" w:rsidR="00492A2F" w:rsidRDefault="00492A2F" w:rsidP="00AC6E35">
      <w:pPr>
        <w:spacing w:after="0" w:line="240" w:lineRule="auto"/>
      </w:pPr>
      <w:r>
        <w:continuationSeparator/>
      </w:r>
    </w:p>
  </w:footnote>
  <w:footnote w:id="1">
    <w:p w14:paraId="027D1668" w14:textId="77777777" w:rsidR="00C67528" w:rsidRPr="00C67528" w:rsidRDefault="00C67528" w:rsidP="009721F7">
      <w:pPr>
        <w:pStyle w:val="FootnoteText"/>
        <w:jc w:val="both"/>
        <w:rPr>
          <w:lang w:val="es-CR"/>
        </w:rPr>
      </w:pPr>
      <w:r>
        <w:rPr>
          <w:rStyle w:val="FootnoteReference"/>
        </w:rPr>
        <w:footnoteRef/>
      </w:r>
      <w:r w:rsidRPr="00C67528">
        <w:rPr>
          <w:lang w:val="es-CR"/>
        </w:rPr>
        <w:t xml:space="preserve"> </w:t>
      </w:r>
      <w:r>
        <w:rPr>
          <w:lang w:val="es-CR"/>
        </w:rPr>
        <w:t xml:space="preserve">En el acta debe quedar claro si la delegación es a una persona específica o bien, si es genérica en razón del cargo (por ejemplo, al representante legal). </w:t>
      </w:r>
      <w:r w:rsidR="009721F7">
        <w:rPr>
          <w:lang w:val="es-CR"/>
        </w:rPr>
        <w:t>Es</w:t>
      </w:r>
      <w:r>
        <w:rPr>
          <w:lang w:val="es-CR"/>
        </w:rPr>
        <w:t>ta última</w:t>
      </w:r>
      <w:r w:rsidR="009721F7">
        <w:rPr>
          <w:lang w:val="es-CR"/>
        </w:rPr>
        <w:t xml:space="preserve"> modalidad permite que cualquier</w:t>
      </w:r>
      <w:r w:rsidR="00D21EB4">
        <w:rPr>
          <w:lang w:val="es-CR"/>
        </w:rPr>
        <w:t>a</w:t>
      </w:r>
      <w:r w:rsidR="009721F7">
        <w:rPr>
          <w:lang w:val="es-CR"/>
        </w:rPr>
        <w:t xml:space="preserve"> de los representantes legales de la empresa defina las características de las emisiones, evitando los</w:t>
      </w:r>
      <w:r>
        <w:rPr>
          <w:lang w:val="es-CR"/>
        </w:rPr>
        <w:t xml:space="preserve"> inconvenientes en caso de que un funcionario </w:t>
      </w:r>
      <w:r w:rsidR="009721F7">
        <w:rPr>
          <w:lang w:val="es-CR"/>
        </w:rPr>
        <w:t>específico no se encuentre disponible.</w:t>
      </w:r>
    </w:p>
  </w:footnote>
  <w:footnote w:id="2">
    <w:p w14:paraId="027D1669" w14:textId="77777777" w:rsidR="00AC6E35" w:rsidRPr="00ED30CF" w:rsidRDefault="00AC6E35">
      <w:pPr>
        <w:pStyle w:val="FootnoteText"/>
        <w:rPr>
          <w:lang w:val="es-CR"/>
        </w:rPr>
      </w:pPr>
      <w:r>
        <w:rPr>
          <w:rStyle w:val="FootnoteReference"/>
        </w:rPr>
        <w:footnoteRef/>
      </w:r>
      <w:r w:rsidRPr="00ED30CF">
        <w:rPr>
          <w:lang w:val="es-CR"/>
        </w:rPr>
        <w:t xml:space="preserve"> </w:t>
      </w:r>
      <w:r>
        <w:rPr>
          <w:lang w:val="es-CR"/>
        </w:rPr>
        <w:t xml:space="preserve">En el caso de emisiones de deuda, el prospecto firmado </w:t>
      </w:r>
      <w:r w:rsidR="00ED30CF">
        <w:rPr>
          <w:lang w:val="es-CR"/>
        </w:rPr>
        <w:t>por el representante legal de la entidad</w:t>
      </w:r>
      <w:r w:rsidR="00B72B79">
        <w:rPr>
          <w:lang w:val="es-CR"/>
        </w:rPr>
        <w:t xml:space="preserve"> sirve para estos efectos y no se requiere presentar un documento adicional.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FE"/>
    <w:multiLevelType w:val="hybridMultilevel"/>
    <w:tmpl w:val="74FEB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E67"/>
    <w:multiLevelType w:val="hybridMultilevel"/>
    <w:tmpl w:val="E40EAFA6"/>
    <w:lvl w:ilvl="0" w:tplc="C5FCCA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640E"/>
    <w:multiLevelType w:val="hybridMultilevel"/>
    <w:tmpl w:val="87428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8D37D4"/>
    <w:multiLevelType w:val="hybridMultilevel"/>
    <w:tmpl w:val="FDF64952"/>
    <w:lvl w:ilvl="0" w:tplc="3A564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901"/>
    <w:multiLevelType w:val="hybridMultilevel"/>
    <w:tmpl w:val="17128384"/>
    <w:lvl w:ilvl="0" w:tplc="99EA4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12B2E"/>
    <w:multiLevelType w:val="hybridMultilevel"/>
    <w:tmpl w:val="60E83E64"/>
    <w:lvl w:ilvl="0" w:tplc="DC902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6615B"/>
    <w:multiLevelType w:val="hybridMultilevel"/>
    <w:tmpl w:val="3746EA10"/>
    <w:lvl w:ilvl="0" w:tplc="610C69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F437D"/>
    <w:multiLevelType w:val="hybridMultilevel"/>
    <w:tmpl w:val="93E8B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1B1C1D"/>
    <w:multiLevelType w:val="hybridMultilevel"/>
    <w:tmpl w:val="8D9C05C8"/>
    <w:lvl w:ilvl="0" w:tplc="C178B6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1912F9"/>
    <w:multiLevelType w:val="hybridMultilevel"/>
    <w:tmpl w:val="01265174"/>
    <w:lvl w:ilvl="0" w:tplc="610C698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F332C6"/>
    <w:multiLevelType w:val="hybridMultilevel"/>
    <w:tmpl w:val="30E6552E"/>
    <w:lvl w:ilvl="0" w:tplc="610C69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0171"/>
    <w:multiLevelType w:val="hybridMultilevel"/>
    <w:tmpl w:val="1B7CD396"/>
    <w:lvl w:ilvl="0" w:tplc="DC4E1E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A4E31"/>
    <w:multiLevelType w:val="hybridMultilevel"/>
    <w:tmpl w:val="FC6C6B06"/>
    <w:lvl w:ilvl="0" w:tplc="6D62B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0C188D"/>
    <w:multiLevelType w:val="hybridMultilevel"/>
    <w:tmpl w:val="0936C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FB3750"/>
    <w:multiLevelType w:val="hybridMultilevel"/>
    <w:tmpl w:val="47D8A96E"/>
    <w:lvl w:ilvl="0" w:tplc="610C69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63682"/>
    <w:multiLevelType w:val="hybridMultilevel"/>
    <w:tmpl w:val="8990E4D4"/>
    <w:lvl w:ilvl="0" w:tplc="3CC0E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E1862"/>
    <w:multiLevelType w:val="hybridMultilevel"/>
    <w:tmpl w:val="225A3D66"/>
    <w:lvl w:ilvl="0" w:tplc="610C698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447011"/>
    <w:multiLevelType w:val="hybridMultilevel"/>
    <w:tmpl w:val="19A4098C"/>
    <w:lvl w:ilvl="0" w:tplc="30D0F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2A3A5A"/>
    <w:multiLevelType w:val="hybridMultilevel"/>
    <w:tmpl w:val="BF989CF0"/>
    <w:lvl w:ilvl="0" w:tplc="610C698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33285"/>
    <w:multiLevelType w:val="hybridMultilevel"/>
    <w:tmpl w:val="99920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5"/>
  </w:num>
  <w:num w:numId="8">
    <w:abstractNumId w:val="2"/>
  </w:num>
  <w:num w:numId="9">
    <w:abstractNumId w:val="8"/>
  </w:num>
  <w:num w:numId="10">
    <w:abstractNumId w:val="19"/>
  </w:num>
  <w:num w:numId="11">
    <w:abstractNumId w:val="16"/>
  </w:num>
  <w:num w:numId="12">
    <w:abstractNumId w:val="1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C5"/>
    <w:rsid w:val="000032F1"/>
    <w:rsid w:val="00007296"/>
    <w:rsid w:val="00015E54"/>
    <w:rsid w:val="00037D04"/>
    <w:rsid w:val="000520BF"/>
    <w:rsid w:val="000616B8"/>
    <w:rsid w:val="000624CF"/>
    <w:rsid w:val="00077CE1"/>
    <w:rsid w:val="0008636C"/>
    <w:rsid w:val="000E3B70"/>
    <w:rsid w:val="001301DD"/>
    <w:rsid w:val="00193692"/>
    <w:rsid w:val="001A0FDB"/>
    <w:rsid w:val="001C1EB5"/>
    <w:rsid w:val="002320CE"/>
    <w:rsid w:val="002404B5"/>
    <w:rsid w:val="00245650"/>
    <w:rsid w:val="00256B40"/>
    <w:rsid w:val="00285951"/>
    <w:rsid w:val="002A5F95"/>
    <w:rsid w:val="002A6720"/>
    <w:rsid w:val="002B1A4F"/>
    <w:rsid w:val="002B4037"/>
    <w:rsid w:val="002F4C6A"/>
    <w:rsid w:val="00304E75"/>
    <w:rsid w:val="00306441"/>
    <w:rsid w:val="003103E0"/>
    <w:rsid w:val="0037197F"/>
    <w:rsid w:val="003A6D97"/>
    <w:rsid w:val="003B5FE6"/>
    <w:rsid w:val="00406F9A"/>
    <w:rsid w:val="0042111F"/>
    <w:rsid w:val="00424CAD"/>
    <w:rsid w:val="00425C66"/>
    <w:rsid w:val="00462DC6"/>
    <w:rsid w:val="00473E2F"/>
    <w:rsid w:val="00492A2F"/>
    <w:rsid w:val="004A37F8"/>
    <w:rsid w:val="004D150F"/>
    <w:rsid w:val="004D6517"/>
    <w:rsid w:val="004E180B"/>
    <w:rsid w:val="004F721C"/>
    <w:rsid w:val="00532508"/>
    <w:rsid w:val="005C3E75"/>
    <w:rsid w:val="005E0E9E"/>
    <w:rsid w:val="00604ADF"/>
    <w:rsid w:val="00611677"/>
    <w:rsid w:val="0063302F"/>
    <w:rsid w:val="0063592F"/>
    <w:rsid w:val="0064075F"/>
    <w:rsid w:val="0064265A"/>
    <w:rsid w:val="0064271D"/>
    <w:rsid w:val="00644461"/>
    <w:rsid w:val="00646D01"/>
    <w:rsid w:val="00662E1C"/>
    <w:rsid w:val="006C2567"/>
    <w:rsid w:val="006D36AB"/>
    <w:rsid w:val="006D5E3C"/>
    <w:rsid w:val="006F1DCE"/>
    <w:rsid w:val="006F5933"/>
    <w:rsid w:val="006F6F82"/>
    <w:rsid w:val="00702843"/>
    <w:rsid w:val="00711604"/>
    <w:rsid w:val="007121C5"/>
    <w:rsid w:val="007132D7"/>
    <w:rsid w:val="007140B5"/>
    <w:rsid w:val="00726C97"/>
    <w:rsid w:val="0073026E"/>
    <w:rsid w:val="00731DD4"/>
    <w:rsid w:val="00735FFD"/>
    <w:rsid w:val="007552AB"/>
    <w:rsid w:val="007A61D4"/>
    <w:rsid w:val="007A6921"/>
    <w:rsid w:val="008248C0"/>
    <w:rsid w:val="00840147"/>
    <w:rsid w:val="00840B83"/>
    <w:rsid w:val="00874668"/>
    <w:rsid w:val="00876207"/>
    <w:rsid w:val="0089026D"/>
    <w:rsid w:val="008B1DCE"/>
    <w:rsid w:val="008C237A"/>
    <w:rsid w:val="008C59EE"/>
    <w:rsid w:val="008D7308"/>
    <w:rsid w:val="008D7726"/>
    <w:rsid w:val="008F0C27"/>
    <w:rsid w:val="008F1152"/>
    <w:rsid w:val="008F64D2"/>
    <w:rsid w:val="009002A0"/>
    <w:rsid w:val="00904762"/>
    <w:rsid w:val="00921C1F"/>
    <w:rsid w:val="009304C5"/>
    <w:rsid w:val="00935D87"/>
    <w:rsid w:val="0094539C"/>
    <w:rsid w:val="009502B0"/>
    <w:rsid w:val="009704C9"/>
    <w:rsid w:val="009721F7"/>
    <w:rsid w:val="009821AA"/>
    <w:rsid w:val="00994760"/>
    <w:rsid w:val="009C5FC8"/>
    <w:rsid w:val="009E6B26"/>
    <w:rsid w:val="00A0297D"/>
    <w:rsid w:val="00A120F7"/>
    <w:rsid w:val="00A2084D"/>
    <w:rsid w:val="00A20B19"/>
    <w:rsid w:val="00A2161D"/>
    <w:rsid w:val="00A257E9"/>
    <w:rsid w:val="00A324D7"/>
    <w:rsid w:val="00A34F1A"/>
    <w:rsid w:val="00A55573"/>
    <w:rsid w:val="00A82030"/>
    <w:rsid w:val="00A97FEB"/>
    <w:rsid w:val="00AB694C"/>
    <w:rsid w:val="00AC5EA8"/>
    <w:rsid w:val="00AC6E35"/>
    <w:rsid w:val="00AF0F31"/>
    <w:rsid w:val="00AF2263"/>
    <w:rsid w:val="00B1270C"/>
    <w:rsid w:val="00B1564E"/>
    <w:rsid w:val="00B326EF"/>
    <w:rsid w:val="00B33EAB"/>
    <w:rsid w:val="00B72B79"/>
    <w:rsid w:val="00B764FF"/>
    <w:rsid w:val="00B82598"/>
    <w:rsid w:val="00BC7C24"/>
    <w:rsid w:val="00BF74CA"/>
    <w:rsid w:val="00C06C03"/>
    <w:rsid w:val="00C437FD"/>
    <w:rsid w:val="00C504CB"/>
    <w:rsid w:val="00C66FF5"/>
    <w:rsid w:val="00C67528"/>
    <w:rsid w:val="00CD6B73"/>
    <w:rsid w:val="00D020FB"/>
    <w:rsid w:val="00D142F4"/>
    <w:rsid w:val="00D212FE"/>
    <w:rsid w:val="00D21EB4"/>
    <w:rsid w:val="00D360FB"/>
    <w:rsid w:val="00D5009A"/>
    <w:rsid w:val="00D6252E"/>
    <w:rsid w:val="00D70C5B"/>
    <w:rsid w:val="00D737D9"/>
    <w:rsid w:val="00D96FF9"/>
    <w:rsid w:val="00DD43AB"/>
    <w:rsid w:val="00DF6796"/>
    <w:rsid w:val="00E15AD6"/>
    <w:rsid w:val="00E26EE2"/>
    <w:rsid w:val="00E37197"/>
    <w:rsid w:val="00E43D19"/>
    <w:rsid w:val="00E82090"/>
    <w:rsid w:val="00EB70F2"/>
    <w:rsid w:val="00ED2D9F"/>
    <w:rsid w:val="00ED30CF"/>
    <w:rsid w:val="00F01000"/>
    <w:rsid w:val="00F55F27"/>
    <w:rsid w:val="00F75AD3"/>
    <w:rsid w:val="00F835EE"/>
    <w:rsid w:val="00F90609"/>
    <w:rsid w:val="00FD1653"/>
    <w:rsid w:val="00FD2A05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1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2"/>
    <w:basedOn w:val="Normal"/>
    <w:link w:val="ListParagraphChar"/>
    <w:uiPriority w:val="34"/>
    <w:qFormat/>
    <w:rsid w:val="00712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C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itulo 2 Char"/>
    <w:link w:val="ListParagraph"/>
    <w:uiPriority w:val="34"/>
    <w:locked/>
    <w:rsid w:val="00921C1F"/>
  </w:style>
  <w:style w:type="paragraph" w:styleId="FootnoteText">
    <w:name w:val="footnote text"/>
    <w:basedOn w:val="Normal"/>
    <w:link w:val="FootnoteTextChar"/>
    <w:uiPriority w:val="99"/>
    <w:semiHidden/>
    <w:unhideWhenUsed/>
    <w:rsid w:val="00AC6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E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E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2"/>
    <w:basedOn w:val="Normal"/>
    <w:link w:val="ListParagraphChar"/>
    <w:uiPriority w:val="34"/>
    <w:qFormat/>
    <w:rsid w:val="00712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C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itulo 2 Char"/>
    <w:link w:val="ListParagraph"/>
    <w:uiPriority w:val="34"/>
    <w:locked/>
    <w:rsid w:val="00921C1F"/>
  </w:style>
  <w:style w:type="paragraph" w:styleId="FootnoteText">
    <w:name w:val="footnote text"/>
    <w:basedOn w:val="Normal"/>
    <w:link w:val="FootnoteTextChar"/>
    <w:uiPriority w:val="99"/>
    <w:semiHidden/>
    <w:unhideWhenUsed/>
    <w:rsid w:val="00AC6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E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541A70F8315A428EA8EDFEDB540730" ma:contentTypeVersion="3" ma:contentTypeDescription="Crear nuevo documento." ma:contentTypeScope="" ma:versionID="33f1dc7d32da74761481ca1fbbc284cc">
  <xsd:schema xmlns:xsd="http://www.w3.org/2001/XMLSchema" xmlns:xs="http://www.w3.org/2001/XMLSchema" xmlns:p="http://schemas.microsoft.com/office/2006/metadata/properties" xmlns:ns1="http://schemas.microsoft.com/sharepoint/v3" xmlns:ns3="fc66ef79-2d66-4fa3-90bd-e4f186d8d369" targetNamespace="http://schemas.microsoft.com/office/2006/metadata/properties" ma:root="true" ma:fieldsID="b75dfa4d5377198312d12fd4e3b80111" ns1:_="" ns3:_="">
    <xsd:import namespace="http://schemas.microsoft.com/sharepoint/v3"/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BE9C-C800-4AAA-90C1-709A24D093F4}"/>
</file>

<file path=customXml/itemProps2.xml><?xml version="1.0" encoding="utf-8"?>
<ds:datastoreItem xmlns:ds="http://schemas.openxmlformats.org/officeDocument/2006/customXml" ds:itemID="{9B2D4C06-E36A-4705-AE5E-FAAF9AF1812E}"/>
</file>

<file path=customXml/itemProps3.xml><?xml version="1.0" encoding="utf-8"?>
<ds:datastoreItem xmlns:ds="http://schemas.openxmlformats.org/officeDocument/2006/customXml" ds:itemID="{F3C1044C-D27C-431F-A39A-68A9D4485869}"/>
</file>

<file path=customXml/itemProps4.xml><?xml version="1.0" encoding="utf-8"?>
<ds:datastoreItem xmlns:ds="http://schemas.openxmlformats.org/officeDocument/2006/customXml" ds:itemID="{E5D1088F-F0C5-424D-8422-140BE28CA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SUGEVAL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Principios orientadores para emisores corporativos</dc:title>
  <dc:creator>espeletacr</dc:creator>
  <cp:lastModifiedBy>castillosa</cp:lastModifiedBy>
  <cp:revision>2</cp:revision>
  <dcterms:created xsi:type="dcterms:W3CDTF">2015-10-06T21:10:00Z</dcterms:created>
  <dcterms:modified xsi:type="dcterms:W3CDTF">2015-10-06T21:10:00Z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0x0101001E541A70F8315A428EA8EDFEDB540730</vt:lpwstr>
  </property>
</Properties>
</file>