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4489"/>
        <w:gridCol w:w="5542"/>
      </w:tblGrid>
      <w:tr w:rsidR="00C10E4B" w:rsidRPr="00C10E4B" w:rsidTr="00AB5C90">
        <w:trPr>
          <w:tblHeader/>
        </w:trPr>
        <w:tc>
          <w:tcPr>
            <w:tcW w:w="10031" w:type="dxa"/>
            <w:gridSpan w:val="2"/>
            <w:shd w:val="clear" w:color="auto" w:fill="FF0000"/>
          </w:tcPr>
          <w:p w:rsidR="00372260" w:rsidRPr="00C10E4B" w:rsidRDefault="00372260" w:rsidP="00372260">
            <w:pPr>
              <w:jc w:val="center"/>
              <w:rPr>
                <w:rFonts w:ascii="Arial" w:hAnsi="Arial" w:cs="Arial"/>
                <w:color w:val="FFFFFF" w:themeColor="background1"/>
              </w:rPr>
            </w:pPr>
            <w:bookmarkStart w:id="0" w:name="_GoBack"/>
            <w:bookmarkEnd w:id="0"/>
          </w:p>
          <w:p w:rsidR="00372260" w:rsidRPr="00C10E4B" w:rsidRDefault="00372260" w:rsidP="00C10E4B">
            <w:pPr>
              <w:shd w:val="clear" w:color="auto" w:fill="FF0000"/>
              <w:jc w:val="center"/>
              <w:rPr>
                <w:rFonts w:ascii="Arial" w:hAnsi="Arial" w:cs="Arial"/>
                <w:b/>
                <w:color w:val="FFFFFF" w:themeColor="background1"/>
              </w:rPr>
            </w:pPr>
            <w:r w:rsidRPr="00C10E4B">
              <w:rPr>
                <w:rFonts w:ascii="Arial" w:hAnsi="Arial" w:cs="Arial"/>
                <w:b/>
                <w:color w:val="FFFFFF" w:themeColor="background1"/>
              </w:rPr>
              <w:t>INFORMACIÓN SOBRE EL TRÁMITE</w:t>
            </w:r>
          </w:p>
          <w:p w:rsidR="00372260" w:rsidRPr="00C10E4B" w:rsidRDefault="00372260" w:rsidP="00372260">
            <w:pPr>
              <w:jc w:val="center"/>
              <w:rPr>
                <w:rFonts w:ascii="Arial" w:hAnsi="Arial" w:cs="Arial"/>
                <w:color w:val="FFFFFF" w:themeColor="background1"/>
              </w:rPr>
            </w:pPr>
          </w:p>
        </w:tc>
      </w:tr>
      <w:tr w:rsidR="00372260" w:rsidTr="00AB5C90">
        <w:trPr>
          <w:trHeight w:val="454"/>
          <w:tblHeader/>
        </w:trPr>
        <w:tc>
          <w:tcPr>
            <w:tcW w:w="4489" w:type="dxa"/>
            <w:shd w:val="clear" w:color="auto" w:fill="808080" w:themeFill="background1" w:themeFillShade="80"/>
            <w:vAlign w:val="center"/>
          </w:tcPr>
          <w:p w:rsidR="00372260" w:rsidRPr="00C10E4B" w:rsidRDefault="00372260" w:rsidP="00C10E4B">
            <w:pPr>
              <w:jc w:val="both"/>
              <w:rPr>
                <w:rFonts w:ascii="Arial" w:hAnsi="Arial" w:cs="Arial"/>
                <w:b/>
                <w:color w:val="FFFFFF" w:themeColor="background1"/>
              </w:rPr>
            </w:pPr>
            <w:r w:rsidRPr="00C10E4B">
              <w:rPr>
                <w:rFonts w:ascii="Arial" w:hAnsi="Arial" w:cs="Arial"/>
                <w:b/>
                <w:color w:val="FFFFFF" w:themeColor="background1"/>
              </w:rPr>
              <w:t>Nombre del trámite:</w:t>
            </w:r>
          </w:p>
        </w:tc>
        <w:tc>
          <w:tcPr>
            <w:tcW w:w="5542" w:type="dxa"/>
            <w:vAlign w:val="center"/>
          </w:tcPr>
          <w:p w:rsidR="00372260" w:rsidRPr="008417D3" w:rsidRDefault="001E2395" w:rsidP="00C10E4B">
            <w:pPr>
              <w:jc w:val="both"/>
              <w:rPr>
                <w:rFonts w:ascii="Arial" w:hAnsi="Arial" w:cs="Arial"/>
                <w:b/>
              </w:rPr>
            </w:pPr>
            <w:r>
              <w:rPr>
                <w:rFonts w:ascii="Arial" w:hAnsi="Arial" w:cs="Arial"/>
                <w:b/>
              </w:rPr>
              <w:t>Autorización</w:t>
            </w:r>
            <w:r w:rsidR="00495987">
              <w:rPr>
                <w:rFonts w:ascii="Arial" w:hAnsi="Arial" w:cs="Arial"/>
                <w:b/>
              </w:rPr>
              <w:t xml:space="preserve"> de participantes y productos</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4B299C">
            <w:pPr>
              <w:jc w:val="both"/>
              <w:rPr>
                <w:rFonts w:ascii="Arial" w:hAnsi="Arial" w:cs="Arial"/>
                <w:b/>
                <w:color w:val="FFFFFF" w:themeColor="background1"/>
              </w:rPr>
            </w:pPr>
            <w:r w:rsidRPr="00C10E4B">
              <w:rPr>
                <w:rFonts w:ascii="Arial" w:hAnsi="Arial" w:cs="Arial"/>
                <w:b/>
                <w:color w:val="FFFFFF" w:themeColor="background1"/>
              </w:rPr>
              <w:t>Licencia, autorización o permiso que se obtiene en el trámite:</w:t>
            </w:r>
          </w:p>
        </w:tc>
        <w:tc>
          <w:tcPr>
            <w:tcW w:w="5542" w:type="dxa"/>
            <w:vAlign w:val="center"/>
          </w:tcPr>
          <w:p w:rsidR="00EC2F89" w:rsidRPr="008417D3" w:rsidRDefault="001E2395" w:rsidP="00032082">
            <w:pPr>
              <w:jc w:val="both"/>
              <w:rPr>
                <w:rFonts w:ascii="Arial" w:hAnsi="Arial" w:cs="Arial"/>
                <w:b/>
              </w:rPr>
            </w:pPr>
            <w:r>
              <w:rPr>
                <w:rFonts w:ascii="Arial" w:hAnsi="Arial" w:cs="Arial"/>
                <w:b/>
              </w:rPr>
              <w:t>Autorización</w:t>
            </w:r>
            <w:r w:rsidR="00495987">
              <w:rPr>
                <w:rFonts w:ascii="Arial" w:hAnsi="Arial" w:cs="Arial"/>
                <w:b/>
              </w:rPr>
              <w:t xml:space="preserve"> de emisiones de </w:t>
            </w:r>
            <w:r w:rsidR="006D78B5">
              <w:rPr>
                <w:rFonts w:ascii="Arial" w:hAnsi="Arial" w:cs="Arial"/>
                <w:b/>
              </w:rPr>
              <w:t xml:space="preserve">deuda de </w:t>
            </w:r>
            <w:r w:rsidR="00032082">
              <w:rPr>
                <w:rFonts w:ascii="Arial" w:hAnsi="Arial" w:cs="Arial"/>
                <w:b/>
              </w:rPr>
              <w:t xml:space="preserve">nuevos </w:t>
            </w:r>
            <w:r w:rsidR="00495987">
              <w:rPr>
                <w:rFonts w:ascii="Arial" w:hAnsi="Arial" w:cs="Arial"/>
                <w:b/>
              </w:rPr>
              <w:t xml:space="preserve">emisores </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C10E4B">
            <w:pPr>
              <w:jc w:val="both"/>
              <w:rPr>
                <w:rFonts w:ascii="Arial" w:hAnsi="Arial" w:cs="Arial"/>
                <w:b/>
                <w:color w:val="FFFFFF" w:themeColor="background1"/>
              </w:rPr>
            </w:pPr>
            <w:r w:rsidRPr="00C10E4B">
              <w:rPr>
                <w:rFonts w:ascii="Arial" w:hAnsi="Arial" w:cs="Arial"/>
                <w:b/>
                <w:color w:val="FFFFFF" w:themeColor="background1"/>
              </w:rPr>
              <w:t>Institución:</w:t>
            </w:r>
          </w:p>
        </w:tc>
        <w:tc>
          <w:tcPr>
            <w:tcW w:w="5542" w:type="dxa"/>
            <w:vAlign w:val="center"/>
          </w:tcPr>
          <w:p w:rsidR="00EC2F89" w:rsidRPr="008417D3" w:rsidRDefault="00EC2F89" w:rsidP="00C10E4B">
            <w:pPr>
              <w:jc w:val="both"/>
              <w:rPr>
                <w:rFonts w:ascii="Arial" w:hAnsi="Arial" w:cs="Arial"/>
                <w:b/>
              </w:rPr>
            </w:pPr>
            <w:r w:rsidRPr="008417D3">
              <w:rPr>
                <w:rFonts w:ascii="Arial" w:hAnsi="Arial" w:cs="Arial"/>
                <w:b/>
              </w:rPr>
              <w:t>Superintendencia General de Valores</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C10E4B">
            <w:pPr>
              <w:jc w:val="both"/>
              <w:rPr>
                <w:rFonts w:ascii="Arial" w:hAnsi="Arial" w:cs="Arial"/>
                <w:b/>
                <w:color w:val="FFFFFF" w:themeColor="background1"/>
              </w:rPr>
            </w:pPr>
            <w:r w:rsidRPr="00C10E4B">
              <w:rPr>
                <w:rFonts w:ascii="Arial" w:hAnsi="Arial" w:cs="Arial"/>
                <w:b/>
                <w:color w:val="FFFFFF" w:themeColor="background1"/>
              </w:rPr>
              <w:t>Dependencia:</w:t>
            </w:r>
          </w:p>
        </w:tc>
        <w:tc>
          <w:tcPr>
            <w:tcW w:w="5542" w:type="dxa"/>
            <w:vAlign w:val="center"/>
          </w:tcPr>
          <w:p w:rsidR="00EC2F89" w:rsidRPr="008417D3" w:rsidRDefault="00EC2F89" w:rsidP="00C10E4B">
            <w:pPr>
              <w:jc w:val="both"/>
              <w:rPr>
                <w:rFonts w:ascii="Arial" w:hAnsi="Arial" w:cs="Arial"/>
                <w:b/>
              </w:rPr>
            </w:pPr>
            <w:r w:rsidRPr="008417D3">
              <w:rPr>
                <w:rFonts w:ascii="Arial" w:hAnsi="Arial" w:cs="Arial"/>
                <w:b/>
              </w:rPr>
              <w:t>Departamento de Oferta Pública</w:t>
            </w:r>
          </w:p>
        </w:tc>
      </w:tr>
      <w:tr w:rsidR="00EC2F89" w:rsidTr="00AB5C90">
        <w:trPr>
          <w:trHeight w:val="454"/>
          <w:tblHeader/>
        </w:trPr>
        <w:tc>
          <w:tcPr>
            <w:tcW w:w="10031" w:type="dxa"/>
            <w:gridSpan w:val="2"/>
            <w:tcBorders>
              <w:bottom w:val="single" w:sz="4" w:space="0" w:color="auto"/>
            </w:tcBorders>
            <w:shd w:val="clear" w:color="auto" w:fill="808080" w:themeFill="background1" w:themeFillShade="80"/>
            <w:vAlign w:val="center"/>
          </w:tcPr>
          <w:p w:rsidR="00EC2F89" w:rsidRPr="00F927B7" w:rsidRDefault="00EC2F89" w:rsidP="00372260">
            <w:pPr>
              <w:jc w:val="center"/>
              <w:rPr>
                <w:rFonts w:ascii="Arial" w:hAnsi="Arial" w:cs="Arial"/>
                <w:b/>
              </w:rPr>
            </w:pPr>
            <w:r w:rsidRPr="00C10E4B">
              <w:rPr>
                <w:rFonts w:ascii="Arial" w:hAnsi="Arial" w:cs="Arial"/>
                <w:b/>
                <w:color w:val="FFFFFF" w:themeColor="background1"/>
              </w:rPr>
              <w:t>Requisito</w:t>
            </w:r>
          </w:p>
        </w:tc>
      </w:tr>
      <w:tr w:rsidR="00EC2F89" w:rsidTr="00AB5C90">
        <w:trPr>
          <w:trHeight w:val="454"/>
        </w:trPr>
        <w:tc>
          <w:tcPr>
            <w:tcW w:w="10031" w:type="dxa"/>
            <w:gridSpan w:val="2"/>
            <w:tcBorders>
              <w:bottom w:val="nil"/>
            </w:tcBorders>
            <w:vAlign w:val="center"/>
          </w:tcPr>
          <w:p w:rsidR="00DE7E9E" w:rsidRPr="00DE7E9E" w:rsidRDefault="00DE7E9E" w:rsidP="006755EE">
            <w:pPr>
              <w:jc w:val="both"/>
              <w:rPr>
                <w:rFonts w:ascii="Arial" w:eastAsia="Times New Roman" w:hAnsi="Arial" w:cs="Arial"/>
                <w:b/>
                <w:bCs/>
                <w:color w:val="000000"/>
                <w:u w:val="single"/>
                <w:lang w:eastAsia="es-CR"/>
              </w:rPr>
            </w:pPr>
            <w:r w:rsidRPr="00FB31BB">
              <w:rPr>
                <w:rFonts w:ascii="Arial" w:eastAsia="Times New Roman" w:hAnsi="Arial" w:cs="Arial"/>
                <w:b/>
                <w:bCs/>
                <w:color w:val="000000"/>
                <w:u w:val="single"/>
                <w:lang w:eastAsia="es-CR"/>
              </w:rPr>
              <w:t>GENERALES</w:t>
            </w:r>
          </w:p>
          <w:p w:rsidR="00DE7E9E" w:rsidRPr="00173559" w:rsidRDefault="00DE7E9E" w:rsidP="007128FA">
            <w:pPr>
              <w:pStyle w:val="ListParagraph"/>
              <w:numPr>
                <w:ilvl w:val="0"/>
                <w:numId w:val="17"/>
              </w:numPr>
              <w:ind w:left="360"/>
              <w:jc w:val="both"/>
              <w:rPr>
                <w:rFonts w:ascii="Arial" w:eastAsia="Times New Roman" w:hAnsi="Arial" w:cs="Arial"/>
                <w:color w:val="000000"/>
                <w:lang w:eastAsia="es-CR"/>
              </w:rPr>
            </w:pPr>
            <w:r w:rsidRPr="00173559">
              <w:rPr>
                <w:rFonts w:ascii="Arial" w:eastAsia="Times New Roman" w:hAnsi="Arial" w:cs="Arial"/>
                <w:color w:val="000000"/>
                <w:lang w:eastAsia="es-CR"/>
              </w:rPr>
              <w:t>Solicitud firmada por el representante legal.</w:t>
            </w:r>
          </w:p>
          <w:p w:rsidR="007128FA" w:rsidRPr="007128FA" w:rsidRDefault="00DE7E9E" w:rsidP="007128FA">
            <w:pPr>
              <w:pStyle w:val="ListParagraph"/>
              <w:numPr>
                <w:ilvl w:val="0"/>
                <w:numId w:val="17"/>
              </w:numPr>
              <w:ind w:left="360"/>
              <w:jc w:val="both"/>
              <w:rPr>
                <w:rFonts w:ascii="Arial" w:eastAsia="Times New Roman" w:hAnsi="Arial" w:cs="Arial"/>
                <w:color w:val="000000"/>
                <w:vertAlign w:val="superscript"/>
                <w:lang w:eastAsia="es-CR"/>
              </w:rPr>
            </w:pPr>
            <w:r w:rsidRPr="007128FA">
              <w:rPr>
                <w:rFonts w:ascii="Arial" w:eastAsia="Times New Roman" w:hAnsi="Arial" w:cs="Arial"/>
                <w:color w:val="000000"/>
                <w:lang w:eastAsia="es-CR"/>
              </w:rPr>
              <w:t>Borrador del prospecto</w:t>
            </w:r>
            <w:r w:rsidR="00173559" w:rsidRPr="007128FA">
              <w:rPr>
                <w:rFonts w:ascii="Arial" w:eastAsia="Times New Roman" w:hAnsi="Arial" w:cs="Arial"/>
                <w:color w:val="000000"/>
                <w:lang w:eastAsia="es-CR"/>
              </w:rPr>
              <w:t xml:space="preserve">, según el </w:t>
            </w:r>
            <w:r w:rsidRPr="007128FA">
              <w:rPr>
                <w:rFonts w:ascii="Arial" w:eastAsia="Times New Roman" w:hAnsi="Arial" w:cs="Arial"/>
                <w:color w:val="000000"/>
                <w:lang w:eastAsia="es-CR"/>
              </w:rPr>
              <w:t>Acuerdo SGV-A-84</w:t>
            </w:r>
            <w:r w:rsidR="00173559" w:rsidRPr="007128FA">
              <w:rPr>
                <w:rFonts w:ascii="Arial" w:eastAsia="Times New Roman" w:hAnsi="Arial" w:cs="Arial"/>
                <w:color w:val="000000"/>
                <w:lang w:eastAsia="es-CR"/>
              </w:rPr>
              <w:t>,</w:t>
            </w:r>
            <w:r w:rsidRPr="007128FA">
              <w:rPr>
                <w:rFonts w:ascii="Arial" w:eastAsia="Times New Roman" w:hAnsi="Arial" w:cs="Arial"/>
                <w:color w:val="000000"/>
                <w:lang w:eastAsia="es-CR"/>
              </w:rPr>
              <w:t xml:space="preserve"> Guía para la elabor</w:t>
            </w:r>
            <w:r w:rsidR="00173559" w:rsidRPr="007128FA">
              <w:rPr>
                <w:rFonts w:ascii="Arial" w:eastAsia="Times New Roman" w:hAnsi="Arial" w:cs="Arial"/>
                <w:color w:val="000000"/>
                <w:lang w:eastAsia="es-CR"/>
              </w:rPr>
              <w:t>ación del prospecto de emisores</w:t>
            </w:r>
            <w:r w:rsidRPr="007128FA">
              <w:rPr>
                <w:rFonts w:ascii="Arial" w:eastAsia="Times New Roman" w:hAnsi="Arial" w:cs="Arial"/>
                <w:color w:val="000000"/>
                <w:lang w:eastAsia="es-CR"/>
              </w:rPr>
              <w:t>.</w:t>
            </w:r>
          </w:p>
          <w:p w:rsidR="00DE7E9E" w:rsidRPr="007128FA" w:rsidRDefault="00DE7E9E" w:rsidP="007128FA">
            <w:pPr>
              <w:pStyle w:val="ListParagraph"/>
              <w:numPr>
                <w:ilvl w:val="0"/>
                <w:numId w:val="17"/>
              </w:numPr>
              <w:ind w:left="360"/>
              <w:jc w:val="both"/>
              <w:rPr>
                <w:rFonts w:ascii="Arial" w:eastAsia="Times New Roman" w:hAnsi="Arial" w:cs="Arial"/>
                <w:color w:val="000000"/>
                <w:vertAlign w:val="superscript"/>
                <w:lang w:eastAsia="es-CR"/>
              </w:rPr>
            </w:pPr>
            <w:r w:rsidRPr="007128FA">
              <w:rPr>
                <w:rFonts w:ascii="Arial" w:eastAsia="Times New Roman" w:hAnsi="Arial" w:cs="Arial"/>
                <w:color w:val="000000"/>
                <w:lang w:eastAsia="es-CR"/>
              </w:rPr>
              <w:t>Calificación de riesgo (aplica para emisiones de deuda, productos estructurados y provenientes de proceso de titularización)</w:t>
            </w:r>
            <w:r w:rsidRPr="007128FA">
              <w:rPr>
                <w:rFonts w:ascii="Arial" w:eastAsia="Times New Roman" w:hAnsi="Arial" w:cs="Arial"/>
                <w:color w:val="000000"/>
                <w:vertAlign w:val="superscript"/>
                <w:lang w:eastAsia="es-CR"/>
              </w:rPr>
              <w:t>1, 2</w:t>
            </w:r>
          </w:p>
          <w:p w:rsidR="00DE7E9E" w:rsidRPr="00DE7E9E" w:rsidRDefault="00DE7E9E" w:rsidP="007128FA">
            <w:pPr>
              <w:jc w:val="both"/>
              <w:rPr>
                <w:rFonts w:ascii="Arial" w:eastAsia="Times New Roman" w:hAnsi="Arial" w:cs="Arial"/>
                <w:color w:val="000000"/>
                <w:lang w:eastAsia="es-CR"/>
              </w:rPr>
            </w:pPr>
          </w:p>
          <w:p w:rsidR="00DE7E9E" w:rsidRPr="007128FA" w:rsidRDefault="00DE7E9E" w:rsidP="007128FA">
            <w:pPr>
              <w:jc w:val="both"/>
              <w:rPr>
                <w:rFonts w:ascii="Arial" w:eastAsia="Times New Roman" w:hAnsi="Arial" w:cs="Arial"/>
                <w:b/>
                <w:bCs/>
                <w:color w:val="000000"/>
                <w:u w:val="single"/>
                <w:lang w:eastAsia="es-CR"/>
              </w:rPr>
            </w:pPr>
            <w:r w:rsidRPr="007128FA">
              <w:rPr>
                <w:rFonts w:ascii="Arial" w:eastAsia="Times New Roman" w:hAnsi="Arial" w:cs="Arial"/>
                <w:b/>
                <w:bCs/>
                <w:color w:val="000000"/>
                <w:u w:val="single"/>
                <w:lang w:eastAsia="es-CR"/>
              </w:rPr>
              <w:t>INFORMACIÓN FINANCIERA</w:t>
            </w:r>
            <w:r w:rsidRPr="007128FA">
              <w:rPr>
                <w:rFonts w:ascii="Arial" w:eastAsia="Times New Roman" w:hAnsi="Arial" w:cs="Arial"/>
                <w:b/>
                <w:bCs/>
                <w:color w:val="000000"/>
                <w:lang w:eastAsia="es-CR"/>
              </w:rPr>
              <w:t xml:space="preserve"> </w:t>
            </w:r>
            <w:r w:rsidRPr="007128FA">
              <w:rPr>
                <w:rFonts w:ascii="Arial" w:eastAsia="Times New Roman" w:hAnsi="Arial" w:cs="Arial"/>
                <w:bCs/>
                <w:color w:val="000000"/>
                <w:vertAlign w:val="superscript"/>
                <w:lang w:eastAsia="es-CR"/>
              </w:rPr>
              <w:t>3</w:t>
            </w:r>
          </w:p>
          <w:p w:rsidR="00DE7E9E" w:rsidRPr="00173559" w:rsidRDefault="00DE7E9E" w:rsidP="007128FA">
            <w:pPr>
              <w:pStyle w:val="ListParagraph"/>
              <w:numPr>
                <w:ilvl w:val="0"/>
                <w:numId w:val="17"/>
              </w:numPr>
              <w:ind w:left="360"/>
              <w:jc w:val="both"/>
              <w:rPr>
                <w:rFonts w:ascii="Arial" w:eastAsia="Times New Roman" w:hAnsi="Arial" w:cs="Arial"/>
                <w:color w:val="000000"/>
                <w:lang w:eastAsia="es-CR"/>
              </w:rPr>
            </w:pPr>
            <w:r w:rsidRPr="00173559">
              <w:rPr>
                <w:rFonts w:ascii="Arial" w:eastAsia="Times New Roman" w:hAnsi="Arial" w:cs="Arial"/>
                <w:color w:val="000000"/>
                <w:lang w:eastAsia="es-CR"/>
              </w:rPr>
              <w:t>Estados financieros auditados consolidados de la entidad emisora para el último periodo fiscal, que incluya dos años comparativos.</w:t>
            </w:r>
          </w:p>
          <w:p w:rsidR="00DE7E9E" w:rsidRPr="00173559" w:rsidRDefault="00DE7E9E" w:rsidP="007128FA">
            <w:pPr>
              <w:pStyle w:val="ListParagraph"/>
              <w:numPr>
                <w:ilvl w:val="0"/>
                <w:numId w:val="17"/>
              </w:numPr>
              <w:ind w:left="360"/>
              <w:jc w:val="both"/>
              <w:rPr>
                <w:rFonts w:ascii="Arial" w:eastAsia="Times New Roman" w:hAnsi="Arial" w:cs="Arial"/>
                <w:color w:val="000000"/>
                <w:lang w:eastAsia="es-CR"/>
              </w:rPr>
            </w:pPr>
            <w:r w:rsidRPr="00173559">
              <w:rPr>
                <w:rFonts w:ascii="Arial" w:eastAsia="Times New Roman" w:hAnsi="Arial" w:cs="Arial"/>
                <w:color w:val="000000"/>
                <w:lang w:eastAsia="es-CR"/>
              </w:rPr>
              <w:t xml:space="preserve">Estados financieros intermedios completos de la entidad emisora para el último periodo trimestral. </w:t>
            </w:r>
          </w:p>
          <w:p w:rsidR="00DE7E9E" w:rsidRPr="00173559" w:rsidRDefault="00DE7E9E" w:rsidP="007128FA">
            <w:pPr>
              <w:pStyle w:val="ListParagraph"/>
              <w:numPr>
                <w:ilvl w:val="0"/>
                <w:numId w:val="17"/>
              </w:numPr>
              <w:ind w:left="360"/>
              <w:jc w:val="both"/>
              <w:rPr>
                <w:rFonts w:ascii="Arial" w:eastAsia="Times New Roman" w:hAnsi="Arial" w:cs="Arial"/>
                <w:color w:val="000000"/>
                <w:lang w:eastAsia="es-CR"/>
              </w:rPr>
            </w:pPr>
            <w:r w:rsidRPr="00173559">
              <w:rPr>
                <w:rFonts w:ascii="Arial" w:eastAsia="Times New Roman" w:hAnsi="Arial" w:cs="Arial"/>
                <w:color w:val="000000"/>
                <w:lang w:eastAsia="es-CR"/>
              </w:rPr>
              <w:t>Estados financieros auditados consolidados de la entidad controladora de la entidad emisora, para el último periodo fiscal, que incluya dos años comparativos (aplica cuando la sociedad controladora participe en algún mecanismo de mejora crediticia con la entidad emisora). Cuando la entidad cuente solo con un año de constitución, no se requerirá dicho comparativo.</w:t>
            </w:r>
          </w:p>
          <w:p w:rsidR="00DE7E9E" w:rsidRPr="00173559" w:rsidRDefault="00DE7E9E" w:rsidP="007128FA">
            <w:pPr>
              <w:pStyle w:val="ListParagraph"/>
              <w:numPr>
                <w:ilvl w:val="0"/>
                <w:numId w:val="17"/>
              </w:numPr>
              <w:ind w:left="360"/>
              <w:jc w:val="both"/>
              <w:rPr>
                <w:rFonts w:ascii="Arial" w:eastAsia="Times New Roman" w:hAnsi="Arial" w:cs="Arial"/>
                <w:lang w:eastAsia="es-CR"/>
              </w:rPr>
            </w:pPr>
            <w:r w:rsidRPr="00173559">
              <w:rPr>
                <w:rFonts w:ascii="Arial" w:eastAsia="Times New Roman" w:hAnsi="Arial" w:cs="Arial"/>
                <w:lang w:eastAsia="es-CR"/>
              </w:rPr>
              <w:t xml:space="preserve">Flujo de caja real anual del emisor y flujo de caja proyectado para el próximo año con los supuestos utilizados. Los emisores fiscalizados </w:t>
            </w:r>
            <w:r w:rsidR="001C51D4">
              <w:rPr>
                <w:rFonts w:ascii="Arial" w:eastAsia="Times New Roman" w:hAnsi="Arial" w:cs="Arial"/>
                <w:lang w:eastAsia="es-CR"/>
              </w:rPr>
              <w:t xml:space="preserve">por SUGEF </w:t>
            </w:r>
            <w:r w:rsidR="001C51D4" w:rsidRPr="00DF1490">
              <w:rPr>
                <w:rFonts w:ascii="Arial" w:eastAsia="Times New Roman" w:hAnsi="Arial" w:cs="Arial"/>
                <w:lang w:eastAsia="es-CR"/>
              </w:rPr>
              <w:t>po</w:t>
            </w:r>
            <w:r w:rsidRPr="00DF1490">
              <w:rPr>
                <w:rFonts w:ascii="Arial" w:eastAsia="Times New Roman" w:hAnsi="Arial" w:cs="Arial"/>
                <w:lang w:eastAsia="es-CR"/>
              </w:rPr>
              <w:t>drán</w:t>
            </w:r>
            <w:r w:rsidRPr="00173559">
              <w:rPr>
                <w:rFonts w:ascii="Arial" w:eastAsia="Times New Roman" w:hAnsi="Arial" w:cs="Arial"/>
                <w:lang w:eastAsia="es-CR"/>
              </w:rPr>
              <w:t xml:space="preserve"> presentar el flujo de caja proyectado para un período trimestral.</w:t>
            </w:r>
          </w:p>
          <w:p w:rsidR="00DE7E9E" w:rsidRPr="00173559" w:rsidRDefault="00DE7E9E" w:rsidP="007128FA">
            <w:pPr>
              <w:pStyle w:val="ListParagraph"/>
              <w:numPr>
                <w:ilvl w:val="0"/>
                <w:numId w:val="17"/>
              </w:numPr>
              <w:ind w:left="360"/>
              <w:jc w:val="both"/>
              <w:rPr>
                <w:rFonts w:ascii="Arial" w:eastAsia="Times New Roman" w:hAnsi="Arial" w:cs="Arial"/>
                <w:lang w:eastAsia="es-CR"/>
              </w:rPr>
            </w:pPr>
            <w:r w:rsidRPr="00173559">
              <w:rPr>
                <w:rFonts w:ascii="Arial" w:eastAsia="Times New Roman" w:hAnsi="Arial" w:cs="Arial"/>
                <w:lang w:eastAsia="es-CR"/>
              </w:rPr>
              <w:t xml:space="preserve">En el caso de que el emisor no cuente con la información financiera requerida para los dos años comparativos señalados  en este apartado, deberá aportar el flujo de caja proyectado y los supuestos que lo respaldan, para un plazo que abarque la totalidad de los pasivos que se pretendan emitir </w:t>
            </w:r>
            <w:r w:rsidRPr="00DF1490">
              <w:rPr>
                <w:rFonts w:ascii="Arial" w:eastAsia="Times New Roman" w:hAnsi="Arial" w:cs="Arial"/>
                <w:lang w:eastAsia="es-CR"/>
              </w:rPr>
              <w:t>sust</w:t>
            </w:r>
            <w:r w:rsidR="006025FF" w:rsidRPr="00DF1490">
              <w:rPr>
                <w:rFonts w:ascii="Arial" w:eastAsia="Times New Roman" w:hAnsi="Arial" w:cs="Arial"/>
                <w:lang w:eastAsia="es-CR"/>
              </w:rPr>
              <w:t>ent</w:t>
            </w:r>
            <w:r w:rsidRPr="00DF1490">
              <w:rPr>
                <w:rFonts w:ascii="Arial" w:eastAsia="Times New Roman" w:hAnsi="Arial" w:cs="Arial"/>
                <w:lang w:eastAsia="es-CR"/>
              </w:rPr>
              <w:t>ados</w:t>
            </w:r>
            <w:r w:rsidRPr="00173559">
              <w:rPr>
                <w:rFonts w:ascii="Arial" w:eastAsia="Times New Roman" w:hAnsi="Arial" w:cs="Arial"/>
                <w:lang w:eastAsia="es-CR"/>
              </w:rPr>
              <w:t xml:space="preserve"> en dichas proyecciones.</w:t>
            </w:r>
          </w:p>
          <w:p w:rsidR="00DE7E9E" w:rsidRPr="00DE7E9E" w:rsidRDefault="00DE7E9E" w:rsidP="007128FA">
            <w:pPr>
              <w:jc w:val="both"/>
              <w:rPr>
                <w:rFonts w:ascii="Arial" w:eastAsia="Times New Roman" w:hAnsi="Arial" w:cs="Arial"/>
                <w:lang w:eastAsia="es-CR"/>
              </w:rPr>
            </w:pPr>
          </w:p>
          <w:p w:rsidR="00DE7E9E" w:rsidRPr="007128FA" w:rsidRDefault="00DE7E9E" w:rsidP="007128FA">
            <w:pPr>
              <w:jc w:val="both"/>
              <w:rPr>
                <w:rFonts w:ascii="Arial" w:eastAsia="Times New Roman" w:hAnsi="Arial" w:cs="Arial"/>
                <w:b/>
                <w:bCs/>
                <w:color w:val="000000"/>
                <w:u w:val="single"/>
                <w:lang w:eastAsia="es-CR"/>
              </w:rPr>
            </w:pPr>
            <w:r w:rsidRPr="007128FA">
              <w:rPr>
                <w:rFonts w:ascii="Arial" w:eastAsia="Times New Roman" w:hAnsi="Arial" w:cs="Arial"/>
                <w:b/>
                <w:bCs/>
                <w:color w:val="000000"/>
                <w:u w:val="single"/>
                <w:lang w:eastAsia="es-CR"/>
              </w:rPr>
              <w:t>DOCUMENTOS LEGALES Y DE ORDEN ADMINISTRATIVO</w:t>
            </w:r>
          </w:p>
          <w:p w:rsidR="00DE7E9E" w:rsidRPr="006025FF" w:rsidRDefault="00DE7E9E" w:rsidP="007128FA">
            <w:pPr>
              <w:pStyle w:val="ListParagraph"/>
              <w:numPr>
                <w:ilvl w:val="0"/>
                <w:numId w:val="17"/>
              </w:numPr>
              <w:ind w:left="360"/>
              <w:jc w:val="both"/>
              <w:rPr>
                <w:rFonts w:ascii="Arial" w:eastAsia="Times New Roman" w:hAnsi="Arial" w:cs="Arial"/>
                <w:color w:val="000000"/>
                <w:lang w:eastAsia="es-CR"/>
              </w:rPr>
            </w:pPr>
            <w:r w:rsidRPr="006025FF">
              <w:rPr>
                <w:rFonts w:ascii="Arial" w:eastAsia="Times New Roman" w:hAnsi="Arial" w:cs="Arial"/>
                <w:color w:val="000000"/>
                <w:lang w:eastAsia="es-CR"/>
              </w:rPr>
              <w:t>Certificación notarial del acta del consejo de administración o del órgano competente según la legislación del país de origen del emisor (para emisores domiciliados en el exterior) que haya acordado la emisión de valores.</w:t>
            </w:r>
          </w:p>
          <w:p w:rsidR="00DE7E9E" w:rsidRPr="006025FF" w:rsidRDefault="00DE7E9E" w:rsidP="007128FA">
            <w:pPr>
              <w:pStyle w:val="ListParagraph"/>
              <w:numPr>
                <w:ilvl w:val="0"/>
                <w:numId w:val="17"/>
              </w:numPr>
              <w:ind w:left="360"/>
              <w:jc w:val="both"/>
              <w:rPr>
                <w:rFonts w:ascii="Arial" w:eastAsia="Times New Roman" w:hAnsi="Arial" w:cs="Arial"/>
                <w:color w:val="000000"/>
                <w:lang w:eastAsia="es-CR"/>
              </w:rPr>
            </w:pPr>
            <w:r w:rsidRPr="006025FF">
              <w:rPr>
                <w:rFonts w:ascii="Arial" w:eastAsia="Times New Roman" w:hAnsi="Arial" w:cs="Arial"/>
                <w:color w:val="000000"/>
                <w:lang w:eastAsia="es-CR"/>
              </w:rPr>
              <w:t>Certificación notarial o registral de los poderes otorgados a los representantes legales de la compañía que actuarán ante la Superintendencia y en donde consten sus condiciones.</w:t>
            </w:r>
          </w:p>
          <w:p w:rsidR="00DE7E9E" w:rsidRPr="006025FF" w:rsidRDefault="00DE7E9E" w:rsidP="007128FA">
            <w:pPr>
              <w:pStyle w:val="ListParagraph"/>
              <w:numPr>
                <w:ilvl w:val="0"/>
                <w:numId w:val="17"/>
              </w:numPr>
              <w:ind w:left="360"/>
              <w:jc w:val="both"/>
              <w:rPr>
                <w:rFonts w:ascii="Arial" w:eastAsia="Times New Roman" w:hAnsi="Arial" w:cs="Arial"/>
                <w:color w:val="000000"/>
                <w:lang w:eastAsia="es-CR"/>
              </w:rPr>
            </w:pPr>
            <w:r w:rsidRPr="006025FF">
              <w:rPr>
                <w:rFonts w:ascii="Arial" w:eastAsia="Times New Roman" w:hAnsi="Arial" w:cs="Arial"/>
                <w:color w:val="000000"/>
                <w:lang w:eastAsia="es-CR"/>
              </w:rPr>
              <w:t>Copia anulada del formato del título valor y cupón que se desea registrar, únicamente en caso de que la emisión se represente en forma física.</w:t>
            </w:r>
          </w:p>
          <w:p w:rsidR="00DE7E9E" w:rsidRPr="006025FF" w:rsidRDefault="00DE7E9E" w:rsidP="007128FA">
            <w:pPr>
              <w:pStyle w:val="ListParagraph"/>
              <w:numPr>
                <w:ilvl w:val="0"/>
                <w:numId w:val="17"/>
              </w:numPr>
              <w:ind w:left="360"/>
              <w:jc w:val="both"/>
              <w:rPr>
                <w:rFonts w:ascii="Arial" w:eastAsia="Times New Roman" w:hAnsi="Arial" w:cs="Arial"/>
                <w:color w:val="000000"/>
                <w:lang w:eastAsia="es-CR"/>
              </w:rPr>
            </w:pPr>
            <w:r w:rsidRPr="006025FF">
              <w:rPr>
                <w:rFonts w:ascii="Arial" w:eastAsia="Times New Roman" w:hAnsi="Arial" w:cs="Arial"/>
                <w:color w:val="000000"/>
                <w:lang w:eastAsia="es-CR"/>
              </w:rPr>
              <w:t>Copia actualizada de los estatutos vigentes de la empresa emisora.</w:t>
            </w:r>
          </w:p>
          <w:p w:rsidR="00DE7E9E" w:rsidRPr="006025FF" w:rsidRDefault="00DE7E9E" w:rsidP="007128FA">
            <w:pPr>
              <w:pStyle w:val="ListParagraph"/>
              <w:numPr>
                <w:ilvl w:val="0"/>
                <w:numId w:val="17"/>
              </w:numPr>
              <w:ind w:left="360"/>
              <w:jc w:val="both"/>
              <w:rPr>
                <w:rFonts w:ascii="Arial" w:eastAsia="Times New Roman" w:hAnsi="Arial" w:cs="Arial"/>
                <w:color w:val="000000"/>
                <w:lang w:eastAsia="es-CR"/>
              </w:rPr>
            </w:pPr>
            <w:r w:rsidRPr="006025FF">
              <w:rPr>
                <w:rFonts w:ascii="Arial" w:eastAsia="Times New Roman" w:hAnsi="Arial" w:cs="Arial"/>
                <w:color w:val="000000"/>
                <w:lang w:eastAsia="es-CR"/>
              </w:rPr>
              <w:t xml:space="preserve">Declaración jurada protocolizada rendida por el presidente de la junta directiva y por el gerente general de la entidad, respecto a su responsabilidad sobre los estados financieros y el control </w:t>
            </w:r>
            <w:r w:rsidR="006025FF">
              <w:rPr>
                <w:rFonts w:ascii="Arial" w:eastAsia="Times New Roman" w:hAnsi="Arial" w:cs="Arial"/>
                <w:color w:val="000000"/>
                <w:lang w:eastAsia="es-CR"/>
              </w:rPr>
              <w:t>interno, de acuerdo con el</w:t>
            </w:r>
            <w:r w:rsidRPr="006025FF">
              <w:rPr>
                <w:rFonts w:ascii="Arial" w:eastAsia="Times New Roman" w:hAnsi="Arial" w:cs="Arial"/>
                <w:lang w:eastAsia="es-CR"/>
              </w:rPr>
              <w:t xml:space="preserve"> Anexo 2 (excepto inciso d. y f.) y Anexo 3</w:t>
            </w:r>
            <w:r w:rsidRPr="006025FF">
              <w:rPr>
                <w:rFonts w:ascii="Arial" w:eastAsia="Times New Roman" w:hAnsi="Arial" w:cs="Arial"/>
                <w:color w:val="000000"/>
                <w:lang w:eastAsia="es-CR"/>
              </w:rPr>
              <w:t xml:space="preserve"> (excepto inciso d.) del Reglamento de Gobierno Corporativo (aplica para entidades emisoras no financieras).</w:t>
            </w:r>
          </w:p>
          <w:p w:rsidR="006025FF" w:rsidRDefault="006025FF" w:rsidP="006755EE">
            <w:pPr>
              <w:jc w:val="both"/>
              <w:rPr>
                <w:rFonts w:ascii="Arial" w:eastAsia="Times New Roman" w:hAnsi="Arial" w:cs="Arial"/>
                <w:b/>
                <w:bCs/>
                <w:color w:val="000000"/>
                <w:u w:val="single"/>
                <w:lang w:eastAsia="es-CR"/>
              </w:rPr>
            </w:pPr>
          </w:p>
          <w:p w:rsidR="00DE7E9E" w:rsidRDefault="00DE7E9E" w:rsidP="006755EE">
            <w:pPr>
              <w:jc w:val="both"/>
              <w:rPr>
                <w:rFonts w:ascii="Arial" w:eastAsia="Times New Roman" w:hAnsi="Arial" w:cs="Arial"/>
                <w:b/>
                <w:bCs/>
                <w:color w:val="000000"/>
                <w:u w:val="single"/>
                <w:lang w:eastAsia="es-CR"/>
              </w:rPr>
            </w:pPr>
            <w:r w:rsidRPr="00FB31BB">
              <w:rPr>
                <w:rFonts w:ascii="Arial" w:eastAsia="Times New Roman" w:hAnsi="Arial" w:cs="Arial"/>
                <w:b/>
                <w:bCs/>
                <w:color w:val="000000"/>
                <w:u w:val="single"/>
                <w:lang w:eastAsia="es-CR"/>
              </w:rPr>
              <w:t>GARANTÍAS</w:t>
            </w:r>
          </w:p>
          <w:p w:rsidR="00DE7E9E" w:rsidRPr="007128FA" w:rsidRDefault="00DE7E9E" w:rsidP="007128FA">
            <w:pPr>
              <w:pStyle w:val="ListParagraph"/>
              <w:numPr>
                <w:ilvl w:val="0"/>
                <w:numId w:val="17"/>
              </w:numPr>
              <w:jc w:val="both"/>
              <w:rPr>
                <w:rFonts w:ascii="Arial" w:eastAsia="Times New Roman" w:hAnsi="Arial" w:cs="Arial"/>
                <w:color w:val="000000"/>
                <w:lang w:eastAsia="es-CR"/>
              </w:rPr>
            </w:pPr>
            <w:r w:rsidRPr="007128FA">
              <w:rPr>
                <w:rFonts w:ascii="Arial" w:eastAsia="Times New Roman" w:hAnsi="Arial" w:cs="Arial"/>
                <w:color w:val="000000"/>
                <w:lang w:eastAsia="es-CR"/>
              </w:rPr>
              <w:lastRenderedPageBreak/>
              <w:t>En el caso de emisiones para las cuales se hubiere otorgado alguna garantía, deberá presentarse la siguiente información y documentación:</w:t>
            </w:r>
          </w:p>
          <w:p w:rsidR="002001E5" w:rsidRPr="00DE7E9E" w:rsidRDefault="002001E5" w:rsidP="006755EE">
            <w:pPr>
              <w:jc w:val="both"/>
              <w:rPr>
                <w:rFonts w:ascii="Arial" w:eastAsia="Times New Roman" w:hAnsi="Arial" w:cs="Arial"/>
                <w:color w:val="000000"/>
                <w:lang w:eastAsia="es-CR"/>
              </w:rPr>
            </w:pPr>
          </w:p>
          <w:p w:rsidR="00DE7E9E" w:rsidRPr="007128FA" w:rsidRDefault="00DE7E9E" w:rsidP="007128FA">
            <w:pPr>
              <w:pStyle w:val="ListParagraph"/>
              <w:numPr>
                <w:ilvl w:val="0"/>
                <w:numId w:val="19"/>
              </w:numPr>
              <w:jc w:val="both"/>
              <w:rPr>
                <w:rFonts w:ascii="Arial" w:eastAsia="Times New Roman" w:hAnsi="Arial" w:cs="Arial"/>
                <w:b/>
                <w:bCs/>
                <w:i/>
                <w:iCs/>
                <w:color w:val="000000"/>
                <w:lang w:eastAsia="es-CR"/>
              </w:rPr>
            </w:pPr>
            <w:r w:rsidRPr="007128FA">
              <w:rPr>
                <w:rFonts w:ascii="Arial" w:eastAsia="Times New Roman" w:hAnsi="Arial" w:cs="Arial"/>
                <w:b/>
                <w:bCs/>
                <w:i/>
                <w:iCs/>
                <w:color w:val="000000"/>
                <w:lang w:eastAsia="es-CR"/>
              </w:rPr>
              <w:t>Cuando una persona jurídica otorga la garantía:</w:t>
            </w:r>
          </w:p>
          <w:p w:rsidR="00DE7E9E" w:rsidRPr="006025FF" w:rsidRDefault="00DE7E9E" w:rsidP="006755EE">
            <w:pPr>
              <w:pStyle w:val="ListParagraph"/>
              <w:numPr>
                <w:ilvl w:val="0"/>
                <w:numId w:val="7"/>
              </w:numPr>
              <w:jc w:val="both"/>
              <w:rPr>
                <w:rFonts w:ascii="Arial" w:eastAsia="Times New Roman" w:hAnsi="Arial" w:cs="Arial"/>
                <w:color w:val="000000"/>
                <w:lang w:eastAsia="es-CR"/>
              </w:rPr>
            </w:pPr>
            <w:r w:rsidRPr="006025FF">
              <w:rPr>
                <w:rFonts w:ascii="Arial" w:eastAsia="Times New Roman" w:hAnsi="Arial" w:cs="Arial"/>
                <w:color w:val="000000"/>
                <w:lang w:eastAsia="es-CR"/>
              </w:rPr>
              <w:t>Certifica</w:t>
            </w:r>
            <w:r w:rsidR="006025FF" w:rsidRPr="006025FF">
              <w:rPr>
                <w:rFonts w:ascii="Arial" w:eastAsia="Times New Roman" w:hAnsi="Arial" w:cs="Arial"/>
                <w:color w:val="000000"/>
                <w:lang w:eastAsia="es-CR"/>
              </w:rPr>
              <w:t xml:space="preserve">ción notarial o registral que </w:t>
            </w:r>
            <w:r w:rsidR="006025FF" w:rsidRPr="00DF1490">
              <w:rPr>
                <w:rFonts w:ascii="Arial" w:eastAsia="Times New Roman" w:hAnsi="Arial" w:cs="Arial"/>
                <w:color w:val="000000"/>
                <w:lang w:eastAsia="es-CR"/>
              </w:rPr>
              <w:t>dé</w:t>
            </w:r>
            <w:r w:rsidRPr="006025FF">
              <w:rPr>
                <w:rFonts w:ascii="Arial" w:eastAsia="Times New Roman" w:hAnsi="Arial" w:cs="Arial"/>
                <w:color w:val="000000"/>
                <w:lang w:eastAsia="es-CR"/>
              </w:rPr>
              <w:t xml:space="preserve"> fe de la existencia de la garantía otorgada.</w:t>
            </w:r>
          </w:p>
          <w:p w:rsidR="00DE7E9E" w:rsidRDefault="00DE7E9E" w:rsidP="006755EE">
            <w:pPr>
              <w:pStyle w:val="ListParagraph"/>
              <w:numPr>
                <w:ilvl w:val="0"/>
                <w:numId w:val="7"/>
              </w:numPr>
              <w:jc w:val="both"/>
              <w:rPr>
                <w:rFonts w:ascii="Arial" w:eastAsia="Times New Roman" w:hAnsi="Arial" w:cs="Arial"/>
                <w:color w:val="000000"/>
                <w:lang w:eastAsia="es-CR"/>
              </w:rPr>
            </w:pPr>
            <w:r w:rsidRPr="006025FF">
              <w:rPr>
                <w:rFonts w:ascii="Arial" w:eastAsia="Times New Roman" w:hAnsi="Arial" w:cs="Arial"/>
                <w:color w:val="000000"/>
                <w:lang w:eastAsia="es-CR"/>
              </w:rPr>
              <w:t xml:space="preserve">Estados financieros auditados del garante correspondiente al último período fiscal y último periodo disponible. </w:t>
            </w:r>
          </w:p>
          <w:p w:rsidR="002001E5" w:rsidRPr="006025FF" w:rsidRDefault="002001E5" w:rsidP="006755EE">
            <w:pPr>
              <w:pStyle w:val="ListParagraph"/>
              <w:jc w:val="both"/>
              <w:rPr>
                <w:rFonts w:ascii="Arial" w:eastAsia="Times New Roman" w:hAnsi="Arial" w:cs="Arial"/>
                <w:color w:val="000000"/>
                <w:lang w:eastAsia="es-CR"/>
              </w:rPr>
            </w:pPr>
          </w:p>
          <w:p w:rsidR="00DE7E9E" w:rsidRPr="007128FA" w:rsidRDefault="00DE7E9E" w:rsidP="007128FA">
            <w:pPr>
              <w:pStyle w:val="ListParagraph"/>
              <w:numPr>
                <w:ilvl w:val="0"/>
                <w:numId w:val="19"/>
              </w:numPr>
              <w:tabs>
                <w:tab w:val="left" w:pos="426"/>
              </w:tabs>
              <w:jc w:val="both"/>
              <w:rPr>
                <w:rFonts w:ascii="Arial" w:eastAsia="Times New Roman" w:hAnsi="Arial" w:cs="Arial"/>
                <w:b/>
                <w:bCs/>
                <w:i/>
                <w:iCs/>
                <w:color w:val="000000"/>
                <w:lang w:eastAsia="es-CR"/>
              </w:rPr>
            </w:pPr>
            <w:r w:rsidRPr="007128FA">
              <w:rPr>
                <w:rFonts w:ascii="Arial" w:eastAsia="Times New Roman" w:hAnsi="Arial" w:cs="Arial"/>
                <w:b/>
                <w:bCs/>
                <w:i/>
                <w:iCs/>
                <w:color w:val="000000"/>
                <w:lang w:eastAsia="es-CR"/>
              </w:rPr>
              <w:t>  Cuando la emisión cuenta con un fideicomiso de garantía:</w:t>
            </w:r>
          </w:p>
          <w:p w:rsidR="00DE7E9E" w:rsidRPr="00A754F1" w:rsidRDefault="00DE7E9E" w:rsidP="006755EE">
            <w:pPr>
              <w:pStyle w:val="ListParagraph"/>
              <w:numPr>
                <w:ilvl w:val="0"/>
                <w:numId w:val="9"/>
              </w:numPr>
              <w:jc w:val="both"/>
              <w:rPr>
                <w:rFonts w:ascii="Arial" w:eastAsia="Times New Roman" w:hAnsi="Arial" w:cs="Arial"/>
                <w:color w:val="000000"/>
                <w:lang w:eastAsia="es-CR"/>
              </w:rPr>
            </w:pPr>
            <w:r w:rsidRPr="00A754F1">
              <w:rPr>
                <w:rFonts w:ascii="Arial" w:eastAsia="Times New Roman" w:hAnsi="Arial" w:cs="Arial"/>
                <w:color w:val="000000"/>
                <w:lang w:eastAsia="es-CR"/>
              </w:rPr>
              <w:t xml:space="preserve">Certificación notarial del contrato de fideicomiso de garantía. </w:t>
            </w:r>
          </w:p>
          <w:p w:rsidR="00DE7E9E" w:rsidRPr="00A754F1" w:rsidRDefault="00DE7E9E" w:rsidP="006755EE">
            <w:pPr>
              <w:pStyle w:val="ListParagraph"/>
              <w:numPr>
                <w:ilvl w:val="0"/>
                <w:numId w:val="9"/>
              </w:numPr>
              <w:jc w:val="both"/>
              <w:rPr>
                <w:rFonts w:ascii="Arial" w:eastAsia="Times New Roman" w:hAnsi="Arial" w:cs="Arial"/>
                <w:color w:val="000000"/>
                <w:lang w:eastAsia="es-CR"/>
              </w:rPr>
            </w:pPr>
            <w:r w:rsidRPr="00A754F1">
              <w:rPr>
                <w:rFonts w:ascii="Arial" w:eastAsia="Times New Roman" w:hAnsi="Arial" w:cs="Arial"/>
                <w:color w:val="000000"/>
                <w:lang w:eastAsia="es-CR"/>
              </w:rPr>
              <w:t>Certificación notarial de los estatutos vigentes de la entidad fiduciaria, en caso de que el fiduciario no sea una entidad supervisada por la Superintendencia General de Entidades Financieros o un Puesto de Bolsa.</w:t>
            </w:r>
          </w:p>
          <w:p w:rsidR="00DE7E9E" w:rsidRPr="00A754F1" w:rsidRDefault="00DE7E9E" w:rsidP="006755EE">
            <w:pPr>
              <w:pStyle w:val="ListParagraph"/>
              <w:numPr>
                <w:ilvl w:val="0"/>
                <w:numId w:val="9"/>
              </w:numPr>
              <w:jc w:val="both"/>
              <w:rPr>
                <w:rFonts w:ascii="Arial" w:eastAsia="Times New Roman" w:hAnsi="Arial" w:cs="Arial"/>
                <w:color w:val="000000"/>
                <w:lang w:eastAsia="es-CR"/>
              </w:rPr>
            </w:pPr>
            <w:r w:rsidRPr="00A754F1">
              <w:rPr>
                <w:rFonts w:ascii="Arial" w:eastAsia="Times New Roman" w:hAnsi="Arial" w:cs="Arial"/>
                <w:color w:val="000000"/>
                <w:lang w:eastAsia="es-CR"/>
              </w:rPr>
              <w:t xml:space="preserve">Avalúo o valoración financiera de los activos a </w:t>
            </w:r>
            <w:proofErr w:type="spellStart"/>
            <w:r w:rsidRPr="00A754F1">
              <w:rPr>
                <w:rFonts w:ascii="Arial" w:eastAsia="Times New Roman" w:hAnsi="Arial" w:cs="Arial"/>
                <w:color w:val="000000"/>
                <w:lang w:eastAsia="es-CR"/>
              </w:rPr>
              <w:t>fideicometir</w:t>
            </w:r>
            <w:proofErr w:type="spellEnd"/>
            <w:r w:rsidRPr="00A754F1">
              <w:rPr>
                <w:rFonts w:ascii="Arial" w:eastAsia="Times New Roman" w:hAnsi="Arial" w:cs="Arial"/>
                <w:color w:val="000000"/>
                <w:lang w:eastAsia="es-CR"/>
              </w:rPr>
              <w:t xml:space="preserve"> realizado por perito independiente o por un puesto de bolsa autorizado.</w:t>
            </w:r>
          </w:p>
          <w:p w:rsidR="00DE7E9E" w:rsidRDefault="00DE7E9E" w:rsidP="006755EE">
            <w:pPr>
              <w:pStyle w:val="ListParagraph"/>
              <w:numPr>
                <w:ilvl w:val="0"/>
                <w:numId w:val="9"/>
              </w:numPr>
              <w:jc w:val="both"/>
              <w:rPr>
                <w:rFonts w:ascii="Arial" w:eastAsia="Times New Roman" w:hAnsi="Arial" w:cs="Arial"/>
                <w:color w:val="000000"/>
                <w:lang w:eastAsia="es-CR"/>
              </w:rPr>
            </w:pPr>
            <w:r w:rsidRPr="00A754F1">
              <w:rPr>
                <w:rFonts w:ascii="Arial" w:eastAsia="Times New Roman" w:hAnsi="Arial" w:cs="Arial"/>
                <w:color w:val="000000"/>
                <w:lang w:eastAsia="es-CR"/>
              </w:rPr>
              <w:t>En el caso de bienes inmuebles y bienes muebles sujetos a inscripción en el registro, certificación registral o notarial de los bienes a traspasar en propiedad fiduciaria, en la que se indiquen los gravámenes y anotaciones que pesen sobre ellos.</w:t>
            </w:r>
          </w:p>
          <w:p w:rsidR="002001E5" w:rsidRPr="00A754F1" w:rsidRDefault="002001E5" w:rsidP="006755EE">
            <w:pPr>
              <w:pStyle w:val="ListParagraph"/>
              <w:jc w:val="both"/>
              <w:rPr>
                <w:rFonts w:ascii="Arial" w:eastAsia="Times New Roman" w:hAnsi="Arial" w:cs="Arial"/>
                <w:color w:val="000000"/>
                <w:lang w:eastAsia="es-CR"/>
              </w:rPr>
            </w:pPr>
          </w:p>
          <w:p w:rsidR="00DE7E9E" w:rsidRPr="007128FA" w:rsidRDefault="00DE7E9E" w:rsidP="007128FA">
            <w:pPr>
              <w:pStyle w:val="ListParagraph"/>
              <w:numPr>
                <w:ilvl w:val="0"/>
                <w:numId w:val="19"/>
              </w:numPr>
              <w:jc w:val="both"/>
              <w:rPr>
                <w:rFonts w:ascii="Arial" w:eastAsia="Times New Roman" w:hAnsi="Arial" w:cs="Arial"/>
                <w:b/>
                <w:bCs/>
                <w:i/>
                <w:iCs/>
                <w:color w:val="000000"/>
                <w:lang w:eastAsia="es-CR"/>
              </w:rPr>
            </w:pPr>
            <w:r w:rsidRPr="007128FA">
              <w:rPr>
                <w:rFonts w:ascii="Arial" w:eastAsia="Times New Roman" w:hAnsi="Arial" w:cs="Arial"/>
                <w:b/>
                <w:bCs/>
                <w:i/>
                <w:iCs/>
                <w:color w:val="000000"/>
                <w:lang w:eastAsia="es-CR"/>
              </w:rPr>
              <w:t>Cuando la emisión cuenta con garantías reales:</w:t>
            </w:r>
          </w:p>
          <w:p w:rsidR="00DE7E9E" w:rsidRPr="00A754F1" w:rsidRDefault="00DE7E9E" w:rsidP="006755EE">
            <w:pPr>
              <w:pStyle w:val="ListParagraph"/>
              <w:numPr>
                <w:ilvl w:val="0"/>
                <w:numId w:val="11"/>
              </w:numPr>
              <w:jc w:val="both"/>
              <w:rPr>
                <w:rFonts w:ascii="Arial" w:eastAsia="Times New Roman" w:hAnsi="Arial" w:cs="Arial"/>
                <w:color w:val="000000"/>
                <w:lang w:eastAsia="es-CR"/>
              </w:rPr>
            </w:pPr>
            <w:r w:rsidRPr="00A754F1">
              <w:rPr>
                <w:rFonts w:ascii="Arial" w:eastAsia="Times New Roman" w:hAnsi="Arial" w:cs="Arial"/>
                <w:color w:val="000000"/>
                <w:lang w:eastAsia="es-CR"/>
              </w:rPr>
              <w:t>Certificación notarial del contrato de garantía.</w:t>
            </w:r>
          </w:p>
          <w:p w:rsidR="00DE7E9E" w:rsidRPr="00A754F1" w:rsidRDefault="00DE7E9E" w:rsidP="006755EE">
            <w:pPr>
              <w:pStyle w:val="ListParagraph"/>
              <w:numPr>
                <w:ilvl w:val="0"/>
                <w:numId w:val="11"/>
              </w:numPr>
              <w:jc w:val="both"/>
              <w:rPr>
                <w:rFonts w:ascii="Arial" w:eastAsia="Times New Roman" w:hAnsi="Arial" w:cs="Arial"/>
                <w:color w:val="000000"/>
                <w:lang w:eastAsia="es-CR"/>
              </w:rPr>
            </w:pPr>
            <w:r w:rsidRPr="00A754F1">
              <w:rPr>
                <w:rFonts w:ascii="Arial" w:eastAsia="Times New Roman" w:hAnsi="Arial" w:cs="Arial"/>
                <w:color w:val="000000"/>
                <w:lang w:eastAsia="es-CR"/>
              </w:rPr>
              <w:t xml:space="preserve">Avalúo o valoración financiera de los activos a </w:t>
            </w:r>
            <w:proofErr w:type="spellStart"/>
            <w:r w:rsidRPr="00A754F1">
              <w:rPr>
                <w:rFonts w:ascii="Arial" w:eastAsia="Times New Roman" w:hAnsi="Arial" w:cs="Arial"/>
                <w:color w:val="000000"/>
                <w:lang w:eastAsia="es-CR"/>
              </w:rPr>
              <w:t>fideicometir</w:t>
            </w:r>
            <w:proofErr w:type="spellEnd"/>
            <w:r w:rsidRPr="00A754F1">
              <w:rPr>
                <w:rFonts w:ascii="Arial" w:eastAsia="Times New Roman" w:hAnsi="Arial" w:cs="Arial"/>
                <w:color w:val="000000"/>
                <w:lang w:eastAsia="es-CR"/>
              </w:rPr>
              <w:t xml:space="preserve"> realizado por perito independiente, o por un puesto de bolsa autorizado en caso de valores.</w:t>
            </w:r>
          </w:p>
          <w:p w:rsidR="00DE7E9E" w:rsidRPr="00A754F1" w:rsidRDefault="00DE7E9E" w:rsidP="006755EE">
            <w:pPr>
              <w:pStyle w:val="ListParagraph"/>
              <w:numPr>
                <w:ilvl w:val="0"/>
                <w:numId w:val="11"/>
              </w:numPr>
              <w:jc w:val="both"/>
              <w:rPr>
                <w:rFonts w:ascii="Arial" w:eastAsia="Times New Roman" w:hAnsi="Arial" w:cs="Arial"/>
                <w:color w:val="000000"/>
                <w:lang w:eastAsia="es-CR"/>
              </w:rPr>
            </w:pPr>
            <w:r w:rsidRPr="00A754F1">
              <w:rPr>
                <w:rFonts w:ascii="Arial" w:eastAsia="Times New Roman" w:hAnsi="Arial" w:cs="Arial"/>
                <w:color w:val="000000"/>
                <w:lang w:eastAsia="es-CR"/>
              </w:rPr>
              <w:t>En el caso de bienes inmuebles y bienes muebles sujetos a inscripción en el Registro Público, certificación registral o notarial, de los bienes que garantizan la emisión en la que se indiquen los gravámenes y anotaciones que pesen sobre ellos.</w:t>
            </w:r>
          </w:p>
          <w:p w:rsidR="00DE7E9E" w:rsidRPr="00A754F1" w:rsidRDefault="00DE7E9E" w:rsidP="006755EE">
            <w:pPr>
              <w:pStyle w:val="ListParagraph"/>
              <w:numPr>
                <w:ilvl w:val="0"/>
                <w:numId w:val="11"/>
              </w:numPr>
              <w:jc w:val="both"/>
              <w:rPr>
                <w:rFonts w:ascii="Arial" w:eastAsia="Times New Roman" w:hAnsi="Arial" w:cs="Arial"/>
                <w:color w:val="000000"/>
                <w:lang w:eastAsia="es-CR"/>
              </w:rPr>
            </w:pPr>
            <w:r w:rsidRPr="00A754F1">
              <w:rPr>
                <w:rFonts w:ascii="Arial" w:eastAsia="Times New Roman" w:hAnsi="Arial" w:cs="Arial"/>
                <w:color w:val="000000"/>
                <w:lang w:eastAsia="es-CR"/>
              </w:rPr>
              <w:t>Certificación notarial de la inscripción del gravamen en el Registro Público excepto en el caso de valores, en cuyo caso corresponderá la documentación que demuestre que se encuentran en custodia.</w:t>
            </w:r>
          </w:p>
          <w:p w:rsidR="002001E5" w:rsidRDefault="002001E5" w:rsidP="006755EE">
            <w:pPr>
              <w:jc w:val="both"/>
              <w:rPr>
                <w:rFonts w:ascii="Arial" w:eastAsia="Times New Roman" w:hAnsi="Arial" w:cs="Arial"/>
                <w:color w:val="000000"/>
                <w:sz w:val="18"/>
                <w:u w:val="single"/>
                <w:lang w:eastAsia="es-CR"/>
              </w:rPr>
            </w:pPr>
          </w:p>
          <w:p w:rsidR="00DE7E9E" w:rsidRPr="00F9658C" w:rsidRDefault="00DE7E9E" w:rsidP="006755EE">
            <w:pPr>
              <w:jc w:val="both"/>
              <w:rPr>
                <w:rFonts w:ascii="Arial" w:eastAsia="Times New Roman" w:hAnsi="Arial" w:cs="Arial"/>
                <w:color w:val="000000"/>
                <w:sz w:val="18"/>
                <w:u w:val="single"/>
                <w:lang w:eastAsia="es-CR"/>
              </w:rPr>
            </w:pPr>
            <w:r w:rsidRPr="00F9658C">
              <w:rPr>
                <w:rFonts w:ascii="Arial" w:eastAsia="Times New Roman" w:hAnsi="Arial" w:cs="Arial"/>
                <w:color w:val="000000"/>
                <w:sz w:val="18"/>
                <w:u w:val="single"/>
                <w:lang w:eastAsia="es-CR"/>
              </w:rPr>
              <w:t xml:space="preserve">Notas: </w:t>
            </w:r>
          </w:p>
          <w:p w:rsidR="00DE7E9E" w:rsidRPr="00F9658C" w:rsidRDefault="00DE7E9E" w:rsidP="006755EE">
            <w:pPr>
              <w:jc w:val="both"/>
              <w:rPr>
                <w:rFonts w:ascii="Arial" w:eastAsia="Times New Roman" w:hAnsi="Arial" w:cs="Arial"/>
                <w:color w:val="000000"/>
                <w:sz w:val="18"/>
                <w:lang w:eastAsia="es-CR"/>
              </w:rPr>
            </w:pPr>
            <w:r w:rsidRPr="00F9658C">
              <w:rPr>
                <w:rFonts w:ascii="Arial" w:eastAsia="Times New Roman" w:hAnsi="Arial" w:cs="Arial"/>
                <w:color w:val="000000"/>
                <w:sz w:val="18"/>
                <w:vertAlign w:val="superscript"/>
                <w:lang w:eastAsia="es-CR"/>
              </w:rPr>
              <w:t>1</w:t>
            </w:r>
            <w:r w:rsidRPr="00F9658C">
              <w:rPr>
                <w:rFonts w:ascii="Arial" w:eastAsia="Times New Roman" w:hAnsi="Arial" w:cs="Arial"/>
                <w:color w:val="000000"/>
                <w:sz w:val="18"/>
                <w:lang w:eastAsia="es-CR"/>
              </w:rPr>
              <w:t xml:space="preserve"> Los intermediarios financieros podrán presentar calificación de riesgo como entidad emisora, distinguiendo sus obligaciones de largo y corto plazo.  En caso de emisiones subordinadas o garantizadas deberá presentarse la calificación de la emisión.</w:t>
            </w:r>
          </w:p>
          <w:p w:rsidR="00DE7E9E" w:rsidRPr="00F9658C" w:rsidRDefault="00DE7E9E" w:rsidP="006755EE">
            <w:pPr>
              <w:jc w:val="both"/>
              <w:rPr>
                <w:rFonts w:ascii="Arial" w:eastAsia="Times New Roman" w:hAnsi="Arial" w:cs="Arial"/>
                <w:color w:val="000000"/>
                <w:sz w:val="18"/>
                <w:lang w:eastAsia="es-CR"/>
              </w:rPr>
            </w:pPr>
            <w:r w:rsidRPr="00F9658C">
              <w:rPr>
                <w:rFonts w:ascii="Arial" w:eastAsia="Times New Roman" w:hAnsi="Arial" w:cs="Arial"/>
                <w:color w:val="000000"/>
                <w:sz w:val="18"/>
                <w:vertAlign w:val="superscript"/>
                <w:lang w:eastAsia="es-CR"/>
              </w:rPr>
              <w:t>2</w:t>
            </w:r>
            <w:r w:rsidRPr="00F9658C">
              <w:rPr>
                <w:rFonts w:ascii="Arial" w:eastAsia="Times New Roman" w:hAnsi="Arial" w:cs="Arial"/>
                <w:color w:val="000000"/>
                <w:sz w:val="18"/>
                <w:lang w:eastAsia="es-CR"/>
              </w:rPr>
              <w:t xml:space="preserve"> La calificación de riesgo de los emisores domiciliados en el exterior, podrá estar otorgada por una empresa calificadora extranjera reconocida por la Comisión de Valores de Estados Unidos o sus subsidiarias, distinguiendo que se trata de una calificación internacional.</w:t>
            </w:r>
          </w:p>
          <w:p w:rsidR="00DE7E9E" w:rsidRPr="00F9658C" w:rsidRDefault="00DE7E9E" w:rsidP="006755EE">
            <w:pPr>
              <w:jc w:val="both"/>
              <w:rPr>
                <w:rFonts w:ascii="Arial" w:eastAsia="Times New Roman" w:hAnsi="Arial" w:cs="Arial"/>
                <w:color w:val="000000"/>
                <w:sz w:val="18"/>
                <w:lang w:eastAsia="es-CR"/>
              </w:rPr>
            </w:pPr>
            <w:r w:rsidRPr="00F9658C">
              <w:rPr>
                <w:rFonts w:ascii="Arial" w:eastAsia="Times New Roman" w:hAnsi="Arial" w:cs="Arial"/>
                <w:color w:val="000000"/>
                <w:sz w:val="18"/>
                <w:vertAlign w:val="superscript"/>
                <w:lang w:eastAsia="es-CR"/>
              </w:rPr>
              <w:t>3</w:t>
            </w:r>
            <w:r w:rsidRPr="00F9658C">
              <w:rPr>
                <w:rFonts w:ascii="Arial" w:eastAsia="Times New Roman" w:hAnsi="Arial" w:cs="Arial"/>
                <w:color w:val="000000"/>
                <w:sz w:val="18"/>
                <w:lang w:eastAsia="es-CR"/>
              </w:rPr>
              <w:t xml:space="preserve"> Las entidades emisoras domiciliadas en el exterior podrán presentar sus estados financieros con base en las normas contables de aplicación en su país de origen, en cuyo caso deberá adjuntarse un informe elaborado por los auditores externos responsables de la opinión o por un auditor inscrito en el Registro de Auditores Elegibles, sobre las principales diferencias entre dichas normas y las normas contables de aplicación en Costa Rica, así como su impacto sobre las </w:t>
            </w:r>
            <w:r w:rsidRPr="00F9658C">
              <w:rPr>
                <w:rFonts w:ascii="Arial" w:eastAsia="Times New Roman" w:hAnsi="Arial" w:cs="Arial"/>
                <w:color w:val="000000"/>
                <w:sz w:val="18"/>
                <w:lang w:eastAsia="es-CR"/>
              </w:rPr>
              <w:lastRenderedPageBreak/>
              <w:t>principales cuentas de los estados financieros.</w:t>
            </w:r>
          </w:p>
          <w:p w:rsidR="00DE7E9E" w:rsidRDefault="00DE7E9E" w:rsidP="006755EE">
            <w:pPr>
              <w:jc w:val="both"/>
              <w:rPr>
                <w:rFonts w:ascii="Arial" w:eastAsia="Times New Roman" w:hAnsi="Arial" w:cs="Arial"/>
                <w:color w:val="000000"/>
                <w:sz w:val="18"/>
                <w:lang w:eastAsia="es-CR"/>
              </w:rPr>
            </w:pPr>
            <w:r w:rsidRPr="00F9658C">
              <w:rPr>
                <w:rFonts w:ascii="Arial" w:eastAsia="Times New Roman" w:hAnsi="Arial" w:cs="Arial"/>
                <w:color w:val="000000"/>
                <w:sz w:val="18"/>
                <w:lang w:eastAsia="es-CR"/>
              </w:rPr>
              <w:t>Adicionalmente, deberán presentar la documentación de respaldo que demuestre que el auditor externo del país donde se encuentra domiciliada la entidad emisora cumple con las condiciones establecidas en el</w:t>
            </w:r>
            <w:r w:rsidR="008144A3">
              <w:rPr>
                <w:rFonts w:ascii="Arial" w:eastAsia="Times New Roman" w:hAnsi="Arial" w:cs="Arial"/>
                <w:color w:val="000000"/>
                <w:sz w:val="18"/>
                <w:lang w:eastAsia="es-CR"/>
              </w:rPr>
              <w:t xml:space="preserve"> artículo 23 del </w:t>
            </w:r>
            <w:r w:rsidRPr="00F9658C">
              <w:rPr>
                <w:rFonts w:ascii="Arial" w:eastAsia="Times New Roman" w:hAnsi="Arial" w:cs="Arial"/>
                <w:color w:val="000000"/>
                <w:sz w:val="18"/>
                <w:lang w:eastAsia="es-CR"/>
              </w:rPr>
              <w:t xml:space="preserve"> Reglamento sobre oferta pública de valores.</w:t>
            </w:r>
          </w:p>
          <w:p w:rsidR="00EC2F89" w:rsidRPr="00372260" w:rsidRDefault="00EC2F89" w:rsidP="008144A3">
            <w:pPr>
              <w:jc w:val="both"/>
              <w:rPr>
                <w:rFonts w:ascii="Arial" w:hAnsi="Arial" w:cs="Arial"/>
              </w:rPr>
            </w:pPr>
          </w:p>
        </w:tc>
      </w:tr>
      <w:tr w:rsidR="003A53EF" w:rsidRPr="00EC2F89" w:rsidTr="004901BA">
        <w:trPr>
          <w:trHeight w:val="454"/>
        </w:trPr>
        <w:tc>
          <w:tcPr>
            <w:tcW w:w="4489" w:type="dxa"/>
            <w:tcBorders>
              <w:top w:val="single" w:sz="4" w:space="0" w:color="auto"/>
            </w:tcBorders>
            <w:shd w:val="clear" w:color="auto" w:fill="808080" w:themeFill="background1" w:themeFillShade="80"/>
            <w:vAlign w:val="center"/>
          </w:tcPr>
          <w:p w:rsidR="003A53EF" w:rsidRPr="008417D3" w:rsidRDefault="003A53EF" w:rsidP="004901BA">
            <w:pPr>
              <w:autoSpaceDE w:val="0"/>
              <w:autoSpaceDN w:val="0"/>
              <w:adjustRightInd w:val="0"/>
              <w:rPr>
                <w:rFonts w:ascii="Arial" w:hAnsi="Arial" w:cs="Arial"/>
                <w:sz w:val="14"/>
              </w:rPr>
            </w:pPr>
            <w:r w:rsidRPr="00C10E4B">
              <w:rPr>
                <w:rFonts w:ascii="Arial" w:hAnsi="Arial" w:cs="Arial"/>
                <w:b/>
                <w:color w:val="FFFFFF" w:themeColor="background1"/>
              </w:rPr>
              <w:lastRenderedPageBreak/>
              <w:t>Fundamento legal</w:t>
            </w:r>
          </w:p>
        </w:tc>
        <w:tc>
          <w:tcPr>
            <w:tcW w:w="5542" w:type="dxa"/>
            <w:tcBorders>
              <w:top w:val="single" w:sz="4" w:space="0" w:color="auto"/>
            </w:tcBorders>
            <w:vAlign w:val="center"/>
          </w:tcPr>
          <w:p w:rsidR="00F24FA0" w:rsidRPr="008417D3" w:rsidRDefault="00F24FA0" w:rsidP="00F24FA0">
            <w:pPr>
              <w:autoSpaceDE w:val="0"/>
              <w:autoSpaceDN w:val="0"/>
              <w:adjustRightInd w:val="0"/>
              <w:jc w:val="center"/>
              <w:rPr>
                <w:rFonts w:ascii="Arial" w:hAnsi="Arial" w:cs="Arial"/>
                <w:sz w:val="14"/>
              </w:rPr>
            </w:pPr>
          </w:p>
          <w:p w:rsidR="00F24FA0" w:rsidRDefault="00F24FA0" w:rsidP="00F24FA0">
            <w:pPr>
              <w:autoSpaceDE w:val="0"/>
              <w:autoSpaceDN w:val="0"/>
              <w:adjustRightInd w:val="0"/>
              <w:jc w:val="center"/>
              <w:rPr>
                <w:rFonts w:ascii="Arial" w:hAnsi="Arial" w:cs="Arial"/>
              </w:rPr>
            </w:pPr>
            <w:r>
              <w:rPr>
                <w:rFonts w:ascii="Arial" w:hAnsi="Arial" w:cs="Arial"/>
              </w:rPr>
              <w:t>Artículo 11 de la Ley Reguladora del Mercado de Valores</w:t>
            </w:r>
          </w:p>
          <w:p w:rsidR="00F24FA0" w:rsidRDefault="00152EC4" w:rsidP="00F24FA0">
            <w:pPr>
              <w:autoSpaceDE w:val="0"/>
              <w:autoSpaceDN w:val="0"/>
              <w:adjustRightInd w:val="0"/>
              <w:jc w:val="center"/>
              <w:rPr>
                <w:rFonts w:ascii="Arial" w:hAnsi="Arial" w:cs="Arial"/>
              </w:rPr>
            </w:pPr>
            <w:r>
              <w:rPr>
                <w:rFonts w:ascii="Arial" w:hAnsi="Arial" w:cs="Arial"/>
              </w:rPr>
              <w:t xml:space="preserve">Artículo 18 del </w:t>
            </w:r>
            <w:r w:rsidR="00F24FA0">
              <w:rPr>
                <w:rFonts w:ascii="Arial" w:hAnsi="Arial" w:cs="Arial"/>
              </w:rPr>
              <w:t>Reglamento sobre oferta pública de valores</w:t>
            </w:r>
          </w:p>
          <w:p w:rsidR="00F24FA0" w:rsidRDefault="00F24FA0" w:rsidP="00F24FA0">
            <w:pPr>
              <w:autoSpaceDE w:val="0"/>
              <w:autoSpaceDN w:val="0"/>
              <w:adjustRightInd w:val="0"/>
              <w:jc w:val="center"/>
              <w:rPr>
                <w:rFonts w:ascii="Arial" w:hAnsi="Arial" w:cs="Arial"/>
              </w:rPr>
            </w:pPr>
            <w:r>
              <w:rPr>
                <w:rFonts w:ascii="Arial" w:hAnsi="Arial" w:cs="Arial"/>
              </w:rPr>
              <w:t>Reglamento de gobierno corporativo</w:t>
            </w:r>
          </w:p>
          <w:p w:rsidR="00F24FA0" w:rsidRPr="00F2263A" w:rsidRDefault="00F24FA0" w:rsidP="00F24FA0">
            <w:pPr>
              <w:jc w:val="center"/>
              <w:rPr>
                <w:rFonts w:ascii="Arial" w:eastAsia="Times New Roman" w:hAnsi="Arial" w:cs="Arial"/>
                <w:color w:val="000000"/>
                <w:lang w:eastAsia="es-CR"/>
              </w:rPr>
            </w:pPr>
            <w:r w:rsidRPr="00F2263A">
              <w:rPr>
                <w:rFonts w:ascii="Arial" w:eastAsia="Times New Roman" w:hAnsi="Arial" w:cs="Arial"/>
                <w:color w:val="000000"/>
                <w:lang w:eastAsia="es-CR"/>
              </w:rPr>
              <w:t>Acuerdo SGV-A-84, Guía para la elabor</w:t>
            </w:r>
            <w:r w:rsidR="00DF1490">
              <w:rPr>
                <w:rFonts w:ascii="Arial" w:eastAsia="Times New Roman" w:hAnsi="Arial" w:cs="Arial"/>
                <w:color w:val="000000"/>
                <w:lang w:eastAsia="es-CR"/>
              </w:rPr>
              <w:t>ación del prospecto de emisores</w:t>
            </w:r>
          </w:p>
          <w:p w:rsidR="003A53EF" w:rsidRPr="00EC2F89" w:rsidRDefault="003A53EF" w:rsidP="004901BA">
            <w:pPr>
              <w:autoSpaceDE w:val="0"/>
              <w:autoSpaceDN w:val="0"/>
              <w:adjustRightInd w:val="0"/>
              <w:jc w:val="both"/>
              <w:rPr>
                <w:rFonts w:ascii="Arial" w:hAnsi="Arial" w:cs="Arial"/>
                <w:szCs w:val="24"/>
              </w:rPr>
            </w:pPr>
          </w:p>
        </w:tc>
      </w:tr>
      <w:tr w:rsidR="003A53EF" w:rsidRPr="008417D3" w:rsidTr="004901BA">
        <w:trPr>
          <w:trHeight w:val="454"/>
        </w:trPr>
        <w:tc>
          <w:tcPr>
            <w:tcW w:w="10031" w:type="dxa"/>
            <w:gridSpan w:val="2"/>
            <w:vAlign w:val="center"/>
          </w:tcPr>
          <w:p w:rsidR="003A53EF" w:rsidRDefault="003A53EF" w:rsidP="004901BA">
            <w:pPr>
              <w:autoSpaceDE w:val="0"/>
              <w:autoSpaceDN w:val="0"/>
              <w:adjustRightInd w:val="0"/>
              <w:jc w:val="center"/>
              <w:rPr>
                <w:rStyle w:val="Hyperlink"/>
                <w:rFonts w:ascii="Arial" w:hAnsi="Arial" w:cs="Arial"/>
                <w:u w:val="none"/>
              </w:rPr>
            </w:pPr>
            <w:r w:rsidRPr="00372260">
              <w:rPr>
                <w:rFonts w:ascii="Arial" w:hAnsi="Arial" w:cs="Arial"/>
              </w:rPr>
              <w:t xml:space="preserve">Si desea revisar leyes y decretos los puede encontrar en la página de la Procuraduría General de la República http://www.pgr.go.cr/Scij/index_pgr.asp o si es alguna otra disposición o manual lo puede hacer en la página del Diario Oficial La Gaceta </w:t>
            </w:r>
            <w:hyperlink r:id="rId11" w:history="1">
              <w:r w:rsidRPr="00372260">
                <w:rPr>
                  <w:rStyle w:val="Hyperlink"/>
                  <w:rFonts w:ascii="Arial" w:hAnsi="Arial" w:cs="Arial"/>
                </w:rPr>
                <w:t>http://www.gaceta.go.cr</w:t>
              </w:r>
            </w:hyperlink>
            <w:r>
              <w:rPr>
                <w:rStyle w:val="Hyperlink"/>
                <w:rFonts w:ascii="Arial" w:hAnsi="Arial" w:cs="Arial"/>
                <w:u w:val="none"/>
              </w:rPr>
              <w:t xml:space="preserve">. </w:t>
            </w:r>
            <w:r w:rsidRPr="00AB5C90">
              <w:rPr>
                <w:rStyle w:val="Hyperlink"/>
                <w:rFonts w:ascii="Arial" w:hAnsi="Arial" w:cs="Arial"/>
                <w:color w:val="auto"/>
                <w:u w:val="none"/>
              </w:rPr>
              <w:t>Asimismo</w:t>
            </w:r>
            <w:r w:rsidR="00F2263A">
              <w:rPr>
                <w:rStyle w:val="Hyperlink"/>
                <w:rFonts w:ascii="Arial" w:hAnsi="Arial" w:cs="Arial"/>
                <w:color w:val="auto"/>
                <w:u w:val="none"/>
              </w:rPr>
              <w:t>,</w:t>
            </w:r>
            <w:r w:rsidRPr="00AB5C90">
              <w:rPr>
                <w:rStyle w:val="Hyperlink"/>
                <w:rFonts w:ascii="Arial" w:hAnsi="Arial" w:cs="Arial"/>
                <w:color w:val="auto"/>
                <w:u w:val="none"/>
              </w:rPr>
              <w:t xml:space="preserve"> podrán ser consultados en las oficinas de la Superintendencia General de Valores o en el sitio web</w:t>
            </w:r>
            <w:r w:rsidR="00F2263A">
              <w:rPr>
                <w:rStyle w:val="Hyperlink"/>
                <w:rFonts w:ascii="Arial" w:hAnsi="Arial" w:cs="Arial"/>
                <w:color w:val="auto"/>
                <w:u w:val="none"/>
              </w:rPr>
              <w:t>.</w:t>
            </w:r>
            <w:hyperlink r:id="rId12" w:history="1">
              <w:r w:rsidRPr="007C2007">
                <w:rPr>
                  <w:rStyle w:val="Hyperlink"/>
                  <w:rFonts w:ascii="Arial" w:hAnsi="Arial" w:cs="Arial"/>
                </w:rPr>
                <w:t>www.sugeval.fi.cr</w:t>
              </w:r>
            </w:hyperlink>
          </w:p>
          <w:p w:rsidR="003A53EF" w:rsidRPr="008417D3" w:rsidRDefault="003A53EF" w:rsidP="004901BA">
            <w:pPr>
              <w:autoSpaceDE w:val="0"/>
              <w:autoSpaceDN w:val="0"/>
              <w:adjustRightInd w:val="0"/>
              <w:rPr>
                <w:rFonts w:ascii="Arial" w:hAnsi="Arial" w:cs="Arial"/>
                <w:sz w:val="14"/>
                <w:highlight w:val="lightGray"/>
              </w:rPr>
            </w:pP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jc w:val="both"/>
              <w:rPr>
                <w:rFonts w:ascii="Arial" w:hAnsi="Arial" w:cs="Arial"/>
                <w:b/>
                <w:color w:val="FFFFFF" w:themeColor="background1"/>
              </w:rPr>
            </w:pPr>
            <w:r w:rsidRPr="00C10E4B">
              <w:rPr>
                <w:rFonts w:ascii="Arial" w:hAnsi="Arial" w:cs="Arial"/>
                <w:b/>
                <w:color w:val="FFFFFF" w:themeColor="background1"/>
              </w:rPr>
              <w:t>Dirección de la dependencia y horarios:</w:t>
            </w:r>
          </w:p>
        </w:tc>
        <w:tc>
          <w:tcPr>
            <w:tcW w:w="5542" w:type="dxa"/>
            <w:vAlign w:val="center"/>
          </w:tcPr>
          <w:p w:rsidR="003A53EF" w:rsidRDefault="003A53EF" w:rsidP="004901BA">
            <w:pPr>
              <w:jc w:val="both"/>
              <w:rPr>
                <w:rFonts w:ascii="Arial" w:hAnsi="Arial" w:cs="Arial"/>
              </w:rPr>
            </w:pPr>
            <w:r>
              <w:rPr>
                <w:rFonts w:ascii="Arial" w:hAnsi="Arial" w:cs="Arial"/>
              </w:rPr>
              <w:t xml:space="preserve">San Pedro de Montes de Oca, del Mall San Pedro, 300 metros norte.  Edificio </w:t>
            </w:r>
            <w:proofErr w:type="spellStart"/>
            <w:r>
              <w:rPr>
                <w:rFonts w:ascii="Arial" w:hAnsi="Arial" w:cs="Arial"/>
              </w:rPr>
              <w:t>Equus</w:t>
            </w:r>
            <w:proofErr w:type="spellEnd"/>
            <w:r>
              <w:rPr>
                <w:rFonts w:ascii="Arial" w:hAnsi="Arial" w:cs="Arial"/>
              </w:rPr>
              <w:t xml:space="preserve">, piso 8. </w:t>
            </w:r>
          </w:p>
          <w:p w:rsidR="003A53EF" w:rsidRPr="00372260" w:rsidRDefault="003A53EF" w:rsidP="004901BA">
            <w:pPr>
              <w:jc w:val="both"/>
              <w:rPr>
                <w:rFonts w:ascii="Arial" w:hAnsi="Arial" w:cs="Arial"/>
              </w:rPr>
            </w:pPr>
            <w:r>
              <w:rPr>
                <w:rFonts w:ascii="Arial" w:hAnsi="Arial" w:cs="Arial"/>
              </w:rPr>
              <w:t>Horario: Lunes a viernes de 9:00 a.m. a 5:00 p.m. (jornada continua)</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Plazo de resolución:</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45 días hábiles</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Vigencia de la licencia, autorización o permiso:</w:t>
            </w:r>
          </w:p>
        </w:tc>
        <w:tc>
          <w:tcPr>
            <w:tcW w:w="5542" w:type="dxa"/>
            <w:vAlign w:val="center"/>
          </w:tcPr>
          <w:p w:rsidR="004A53DF" w:rsidRDefault="004A53DF" w:rsidP="004A53DF">
            <w:pPr>
              <w:jc w:val="both"/>
              <w:rPr>
                <w:rFonts w:ascii="Arial" w:hAnsi="Arial" w:cs="Arial"/>
              </w:rPr>
            </w:pPr>
            <w:r w:rsidRPr="004A53DF">
              <w:rPr>
                <w:rFonts w:ascii="Arial" w:hAnsi="Arial" w:cs="Arial"/>
              </w:rPr>
              <w:t>Hasta el vencimiento de la emisión, en el</w:t>
            </w:r>
            <w:r w:rsidR="00F24FA0">
              <w:rPr>
                <w:rFonts w:ascii="Arial" w:hAnsi="Arial" w:cs="Arial"/>
              </w:rPr>
              <w:t xml:space="preserve"> caso de emisiones que no formen parte de un programa</w:t>
            </w:r>
            <w:r>
              <w:rPr>
                <w:rFonts w:ascii="Arial" w:hAnsi="Arial" w:cs="Arial"/>
              </w:rPr>
              <w:t xml:space="preserve">. </w:t>
            </w:r>
          </w:p>
          <w:p w:rsidR="004A53DF" w:rsidRPr="004A53DF" w:rsidRDefault="004A53DF" w:rsidP="004A53DF">
            <w:pPr>
              <w:jc w:val="both"/>
              <w:rPr>
                <w:rFonts w:ascii="Arial" w:hAnsi="Arial" w:cs="Arial"/>
              </w:rPr>
            </w:pPr>
            <w:r>
              <w:rPr>
                <w:rFonts w:ascii="Arial" w:hAnsi="Arial" w:cs="Arial"/>
              </w:rPr>
              <w:t xml:space="preserve"> </w:t>
            </w:r>
          </w:p>
          <w:p w:rsidR="004A53DF" w:rsidRDefault="004A53DF" w:rsidP="004A53DF">
            <w:pPr>
              <w:jc w:val="both"/>
              <w:rPr>
                <w:rFonts w:ascii="Arial" w:hAnsi="Arial" w:cs="Arial"/>
              </w:rPr>
            </w:pPr>
            <w:r w:rsidRPr="004A53DF">
              <w:rPr>
                <w:rFonts w:ascii="Arial" w:hAnsi="Arial" w:cs="Arial"/>
              </w:rPr>
              <w:t>Hasta el vencimiento de la última emisión vigente, en el</w:t>
            </w:r>
            <w:r>
              <w:rPr>
                <w:rFonts w:ascii="Arial" w:hAnsi="Arial" w:cs="Arial"/>
              </w:rPr>
              <w:t xml:space="preserve"> caso de programas de emisiones.</w:t>
            </w:r>
          </w:p>
          <w:p w:rsidR="004A53DF" w:rsidRDefault="004A53DF" w:rsidP="004A53DF">
            <w:pPr>
              <w:jc w:val="both"/>
              <w:rPr>
                <w:rFonts w:ascii="Arial" w:hAnsi="Arial" w:cs="Arial"/>
              </w:rPr>
            </w:pPr>
          </w:p>
          <w:p w:rsidR="003A53EF" w:rsidRPr="00372260" w:rsidRDefault="004D59A6" w:rsidP="004A53DF">
            <w:pPr>
              <w:jc w:val="both"/>
              <w:rPr>
                <w:rFonts w:ascii="Arial" w:hAnsi="Arial" w:cs="Arial"/>
              </w:rPr>
            </w:pPr>
            <w:r>
              <w:rPr>
                <w:rFonts w:ascii="Arial" w:hAnsi="Arial" w:cs="Arial"/>
              </w:rPr>
              <w:t>Ver apartado “Notas”.</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Costo del trámite:</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Gratuito</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Funcionario contacto:</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Departamento de Información y Comunicación</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Nombre:</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Isabel Tan Chan / Alejandra Mora Díaz</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E-mail:</w:t>
            </w:r>
          </w:p>
        </w:tc>
        <w:tc>
          <w:tcPr>
            <w:tcW w:w="5542" w:type="dxa"/>
            <w:vAlign w:val="center"/>
          </w:tcPr>
          <w:p w:rsidR="003A53EF" w:rsidRPr="00372260" w:rsidRDefault="005E5497" w:rsidP="004901BA">
            <w:pPr>
              <w:autoSpaceDE w:val="0"/>
              <w:autoSpaceDN w:val="0"/>
              <w:adjustRightInd w:val="0"/>
              <w:jc w:val="both"/>
              <w:rPr>
                <w:rFonts w:ascii="Arial" w:hAnsi="Arial" w:cs="Arial"/>
              </w:rPr>
            </w:pPr>
            <w:hyperlink r:id="rId13" w:history="1">
              <w:r w:rsidR="003A53EF" w:rsidRPr="00036F51">
                <w:rPr>
                  <w:rStyle w:val="Hyperlink"/>
                  <w:rFonts w:ascii="Arial" w:hAnsi="Arial" w:cs="Arial"/>
                </w:rPr>
                <w:t>correo@sugeval.fi.cr</w:t>
              </w:r>
            </w:hyperlink>
          </w:p>
        </w:tc>
      </w:tr>
      <w:tr w:rsidR="003A53EF" w:rsidRPr="00F927B7"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lastRenderedPageBreak/>
              <w:t xml:space="preserve">Teléfono:                  </w:t>
            </w:r>
            <w:r w:rsidRPr="00C10E4B">
              <w:rPr>
                <w:rFonts w:ascii="Arial" w:hAnsi="Arial" w:cs="Arial"/>
                <w:color w:val="FFFFFF" w:themeColor="background1"/>
              </w:rPr>
              <w:t>2243-4700</w:t>
            </w:r>
          </w:p>
        </w:tc>
        <w:tc>
          <w:tcPr>
            <w:tcW w:w="5542" w:type="dxa"/>
            <w:shd w:val="clear" w:color="auto" w:fill="808080" w:themeFill="background1" w:themeFillShade="80"/>
            <w:vAlign w:val="center"/>
          </w:tcPr>
          <w:p w:rsidR="003A53EF" w:rsidRPr="00F927B7" w:rsidRDefault="003A53EF" w:rsidP="004901BA">
            <w:pPr>
              <w:autoSpaceDE w:val="0"/>
              <w:autoSpaceDN w:val="0"/>
              <w:adjustRightInd w:val="0"/>
              <w:jc w:val="both"/>
              <w:rPr>
                <w:rFonts w:ascii="Arial" w:hAnsi="Arial" w:cs="Arial"/>
                <w:b/>
              </w:rPr>
            </w:pPr>
            <w:r w:rsidRPr="008417D3">
              <w:rPr>
                <w:rFonts w:ascii="Arial" w:hAnsi="Arial" w:cs="Arial"/>
                <w:b/>
                <w:color w:val="FFFFFF" w:themeColor="background1"/>
              </w:rPr>
              <w:t xml:space="preserve">Fax:        </w:t>
            </w:r>
            <w:r>
              <w:rPr>
                <w:rFonts w:ascii="Arial" w:hAnsi="Arial" w:cs="Arial"/>
                <w:b/>
                <w:color w:val="FFFFFF" w:themeColor="background1"/>
              </w:rPr>
              <w:t xml:space="preserve">                     </w:t>
            </w:r>
            <w:r w:rsidRPr="008417D3">
              <w:rPr>
                <w:rFonts w:ascii="Arial" w:hAnsi="Arial" w:cs="Arial"/>
                <w:b/>
                <w:color w:val="FFFFFF" w:themeColor="background1"/>
              </w:rPr>
              <w:t xml:space="preserve"> </w:t>
            </w:r>
            <w:r w:rsidRPr="008417D3">
              <w:rPr>
                <w:rFonts w:ascii="Arial" w:hAnsi="Arial" w:cs="Arial"/>
                <w:color w:val="FFFFFF" w:themeColor="background1"/>
              </w:rPr>
              <w:t>2243-4646</w:t>
            </w:r>
          </w:p>
        </w:tc>
      </w:tr>
      <w:tr w:rsidR="003A53EF" w:rsidRPr="00C10E4B" w:rsidTr="004901BA">
        <w:trPr>
          <w:trHeight w:val="454"/>
        </w:trPr>
        <w:tc>
          <w:tcPr>
            <w:tcW w:w="10031" w:type="dxa"/>
            <w:gridSpan w:val="2"/>
            <w:shd w:val="clear" w:color="auto" w:fill="FF0000"/>
            <w:vAlign w:val="center"/>
          </w:tcPr>
          <w:p w:rsidR="003A53EF" w:rsidRPr="00C10E4B" w:rsidRDefault="003A53EF" w:rsidP="004901BA">
            <w:pPr>
              <w:autoSpaceDE w:val="0"/>
              <w:autoSpaceDN w:val="0"/>
              <w:adjustRightInd w:val="0"/>
              <w:jc w:val="center"/>
              <w:rPr>
                <w:rFonts w:ascii="Arial" w:hAnsi="Arial" w:cs="Arial"/>
                <w:b/>
              </w:rPr>
            </w:pPr>
            <w:r w:rsidRPr="008417D3">
              <w:rPr>
                <w:rFonts w:ascii="Arial" w:hAnsi="Arial" w:cs="Arial"/>
                <w:b/>
                <w:color w:val="FFFFFF" w:themeColor="background1"/>
              </w:rPr>
              <w:t>Notas</w:t>
            </w:r>
          </w:p>
        </w:tc>
      </w:tr>
      <w:tr w:rsidR="003A53EF" w:rsidRPr="00372260" w:rsidTr="004901BA">
        <w:trPr>
          <w:trHeight w:val="454"/>
        </w:trPr>
        <w:tc>
          <w:tcPr>
            <w:tcW w:w="10031" w:type="dxa"/>
            <w:gridSpan w:val="2"/>
            <w:vAlign w:val="center"/>
          </w:tcPr>
          <w:p w:rsidR="0022483E" w:rsidRPr="004D59A6" w:rsidRDefault="0022483E" w:rsidP="006755EE">
            <w:pPr>
              <w:widowControl w:val="0"/>
              <w:jc w:val="both"/>
              <w:rPr>
                <w:rFonts w:ascii="Arial" w:hAnsi="Arial" w:cs="Arial"/>
              </w:rPr>
            </w:pPr>
            <w:r w:rsidRPr="004D59A6">
              <w:rPr>
                <w:rFonts w:ascii="Arial" w:hAnsi="Arial" w:cs="Arial"/>
              </w:rPr>
              <w:t>Las emisiones y programas que no hayan sido colocados dentro de los plazos dispuestos en los artículos 17 y 47 del Reglamento sobre oferta pública de valores serán desinscritas de oficio del Registro Nacional de Va</w:t>
            </w:r>
            <w:r w:rsidR="00460048">
              <w:rPr>
                <w:rFonts w:ascii="Arial" w:hAnsi="Arial" w:cs="Arial"/>
              </w:rPr>
              <w:t>lores e Intermediarios y se inf</w:t>
            </w:r>
            <w:r w:rsidRPr="004D59A6">
              <w:rPr>
                <w:rFonts w:ascii="Arial" w:hAnsi="Arial" w:cs="Arial"/>
              </w:rPr>
              <w:t>ormará al mercado mediante un Comunicado de Hecho Relevante.</w:t>
            </w:r>
          </w:p>
          <w:p w:rsidR="0022483E" w:rsidRPr="004D59A6" w:rsidRDefault="0022483E" w:rsidP="006755EE">
            <w:pPr>
              <w:widowControl w:val="0"/>
              <w:jc w:val="both"/>
              <w:rPr>
                <w:rFonts w:ascii="Arial" w:hAnsi="Arial" w:cs="Arial"/>
              </w:rPr>
            </w:pPr>
          </w:p>
          <w:p w:rsidR="003A53EF" w:rsidRDefault="00FD18B1" w:rsidP="006755EE">
            <w:pPr>
              <w:widowControl w:val="0"/>
              <w:jc w:val="both"/>
              <w:rPr>
                <w:rFonts w:ascii="Arial" w:hAnsi="Arial" w:cs="Arial"/>
                <w:bCs/>
                <w:lang w:val="es-MX"/>
              </w:rPr>
            </w:pPr>
            <w:r w:rsidRPr="004D59A6">
              <w:rPr>
                <w:rFonts w:ascii="Arial" w:hAnsi="Arial" w:cs="Arial"/>
                <w:bCs/>
                <w:lang w:val="es-MX"/>
              </w:rPr>
              <w:t xml:space="preserve">Aquellos emisores que no posean emisiones vigentes autorizadas para oferta pública por un periodo superior a seis meses consecutivos desde el vencimiento de la última emisión, serán </w:t>
            </w:r>
            <w:proofErr w:type="spellStart"/>
            <w:r w:rsidRPr="004D59A6">
              <w:rPr>
                <w:rFonts w:ascii="Arial" w:hAnsi="Arial" w:cs="Arial"/>
                <w:bCs/>
                <w:lang w:val="es-MX"/>
              </w:rPr>
              <w:t>desinscritos</w:t>
            </w:r>
            <w:proofErr w:type="spellEnd"/>
            <w:r w:rsidRPr="004D59A6">
              <w:rPr>
                <w:rFonts w:ascii="Arial" w:hAnsi="Arial" w:cs="Arial"/>
                <w:bCs/>
                <w:lang w:val="es-MX"/>
              </w:rPr>
              <w:t xml:space="preserve"> de oficio del Registro Nacional de Valores e Intermediarios y se informará al mercado mediante un Comunicado de Hechos Relevantes. Se exceptúan de esta disposición el Gobierno Central y el Banco Central de Costa Rica (artículo 136 del Reglamento sobre oferta pública de valores).</w:t>
            </w:r>
          </w:p>
          <w:p w:rsidR="00CF6EA5" w:rsidRDefault="00CF6EA5" w:rsidP="006755EE">
            <w:pPr>
              <w:widowControl w:val="0"/>
              <w:jc w:val="both"/>
              <w:rPr>
                <w:rFonts w:ascii="Arial" w:hAnsi="Arial" w:cs="Arial"/>
                <w:bCs/>
                <w:lang w:val="es-MX"/>
              </w:rPr>
            </w:pPr>
          </w:p>
          <w:p w:rsidR="00CF6EA5" w:rsidRPr="004D59A6" w:rsidRDefault="00CF6EA5" w:rsidP="001E7151">
            <w:pPr>
              <w:widowControl w:val="0"/>
              <w:jc w:val="both"/>
              <w:rPr>
                <w:rFonts w:ascii="Arial" w:hAnsi="Arial" w:cs="Arial"/>
                <w:bCs/>
                <w:lang w:val="es-MX"/>
              </w:rPr>
            </w:pPr>
            <w:r>
              <w:rPr>
                <w:rFonts w:ascii="Arial" w:hAnsi="Arial" w:cs="Arial"/>
                <w:bCs/>
                <w:lang w:val="es-MX"/>
              </w:rPr>
              <w:t xml:space="preserve">Si desea obtener mayor información sobre los principales aspectos que analiza la Superintendencia en algunos de los requisitos establecidos para los trámites de autorización, puede consultar los </w:t>
            </w:r>
            <w:r w:rsidR="001E7151">
              <w:rPr>
                <w:rFonts w:ascii="Arial" w:hAnsi="Arial" w:cs="Arial"/>
                <w:bCs/>
                <w:lang w:val="es-MX"/>
              </w:rPr>
              <w:t xml:space="preserve">“Principios aplicables a determinados requisitos” disponibles en el sitio web de la </w:t>
            </w:r>
            <w:proofErr w:type="spellStart"/>
            <w:r w:rsidR="001E7151">
              <w:rPr>
                <w:rFonts w:ascii="Arial" w:hAnsi="Arial" w:cs="Arial"/>
                <w:bCs/>
                <w:lang w:val="es-MX"/>
              </w:rPr>
              <w:t>Sugeval</w:t>
            </w:r>
            <w:proofErr w:type="spellEnd"/>
            <w:r w:rsidR="001E7151">
              <w:rPr>
                <w:rFonts w:ascii="Arial" w:hAnsi="Arial" w:cs="Arial"/>
                <w:bCs/>
                <w:lang w:val="es-MX"/>
              </w:rPr>
              <w:t xml:space="preserve">, en la dirección </w:t>
            </w:r>
            <w:r w:rsidR="001E7151" w:rsidRPr="004332F6">
              <w:rPr>
                <w:rFonts w:ascii="Arial" w:hAnsi="Arial" w:cs="Arial"/>
                <w:bCs/>
                <w:i/>
                <w:lang w:val="es-MX"/>
              </w:rPr>
              <w:t>http://www.sugeval.fi.cr/serviciosytramites/Paginas/Lineamientosorientadores.aspx</w:t>
            </w:r>
            <w:r w:rsidR="001E7151">
              <w:rPr>
                <w:rFonts w:ascii="Arial" w:hAnsi="Arial" w:cs="Arial"/>
                <w:bCs/>
                <w:lang w:val="es-MX"/>
              </w:rPr>
              <w:t>.</w:t>
            </w:r>
          </w:p>
        </w:tc>
      </w:tr>
    </w:tbl>
    <w:p w:rsidR="00194C77" w:rsidRDefault="00194C77" w:rsidP="00DE7E9E"/>
    <w:sectPr w:rsidR="00194C77" w:rsidSect="00856F0A">
      <w:headerReference w:type="default" r:id="rId14"/>
      <w:pgSz w:w="12240" w:h="15840"/>
      <w:pgMar w:top="1582" w:right="118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97" w:rsidRDefault="005E5497" w:rsidP="008417D3">
      <w:pPr>
        <w:spacing w:after="0" w:line="240" w:lineRule="auto"/>
      </w:pPr>
      <w:r>
        <w:separator/>
      </w:r>
    </w:p>
  </w:endnote>
  <w:endnote w:type="continuationSeparator" w:id="0">
    <w:p w:rsidR="005E5497" w:rsidRDefault="005E5497" w:rsidP="0084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97" w:rsidRDefault="005E5497" w:rsidP="008417D3">
      <w:pPr>
        <w:spacing w:after="0" w:line="240" w:lineRule="auto"/>
      </w:pPr>
      <w:r>
        <w:separator/>
      </w:r>
    </w:p>
  </w:footnote>
  <w:footnote w:type="continuationSeparator" w:id="0">
    <w:p w:rsidR="005E5497" w:rsidRDefault="005E5497" w:rsidP="00841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D3" w:rsidRDefault="008417D3" w:rsidP="008417D3">
    <w:pPr>
      <w:pStyle w:val="Header"/>
      <w:jc w:val="right"/>
    </w:pPr>
    <w:r>
      <w:rPr>
        <w:noProof/>
        <w:lang w:eastAsia="es-CR"/>
      </w:rPr>
      <w:drawing>
        <wp:inline distT="0" distB="0" distL="0" distR="0" wp14:anchorId="60AC8161" wp14:editId="54EC5E46">
          <wp:extent cx="149352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997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35B"/>
    <w:multiLevelType w:val="hybridMultilevel"/>
    <w:tmpl w:val="5B006708"/>
    <w:lvl w:ilvl="0" w:tplc="0290A9B4">
      <w:start w:val="1"/>
      <w:numFmt w:val="decimal"/>
      <w:lvlText w:val="%1."/>
      <w:lvlJc w:val="left"/>
      <w:pPr>
        <w:ind w:left="720" w:hanging="360"/>
      </w:pPr>
      <w:rPr>
        <w:rFonts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E54D77"/>
    <w:multiLevelType w:val="hybridMultilevel"/>
    <w:tmpl w:val="17D83BF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nsid w:val="109D1BB0"/>
    <w:multiLevelType w:val="hybridMultilevel"/>
    <w:tmpl w:val="F6DE5050"/>
    <w:lvl w:ilvl="0" w:tplc="C024BA4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DF74964"/>
    <w:multiLevelType w:val="hybridMultilevel"/>
    <w:tmpl w:val="7DBE75E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ADE5219"/>
    <w:multiLevelType w:val="hybridMultilevel"/>
    <w:tmpl w:val="8AE0258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nsid w:val="45BA28B9"/>
    <w:multiLevelType w:val="hybridMultilevel"/>
    <w:tmpl w:val="181C670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nsid w:val="46CC31BD"/>
    <w:multiLevelType w:val="hybridMultilevel"/>
    <w:tmpl w:val="AF74A27C"/>
    <w:lvl w:ilvl="0" w:tplc="862CC08A">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443383"/>
    <w:multiLevelType w:val="hybridMultilevel"/>
    <w:tmpl w:val="EFA651EE"/>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nsid w:val="4CC55C3C"/>
    <w:multiLevelType w:val="hybridMultilevel"/>
    <w:tmpl w:val="6B18F7E6"/>
    <w:lvl w:ilvl="0" w:tplc="8410E58C">
      <w:start w:val="1"/>
      <w:numFmt w:val="bullet"/>
      <w:lvlText w:val="-"/>
      <w:lvlJc w:val="left"/>
      <w:pPr>
        <w:ind w:left="720" w:hanging="360"/>
      </w:pPr>
      <w:rPr>
        <w:rFonts w:ascii="Arial" w:hAnsi="Arial"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38C5D6A"/>
    <w:multiLevelType w:val="hybridMultilevel"/>
    <w:tmpl w:val="0D08504A"/>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nsid w:val="53D276A4"/>
    <w:multiLevelType w:val="hybridMultilevel"/>
    <w:tmpl w:val="98A0C3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BA77FC"/>
    <w:multiLevelType w:val="hybridMultilevel"/>
    <w:tmpl w:val="4C84FC7A"/>
    <w:lvl w:ilvl="0" w:tplc="C892150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ABD5727"/>
    <w:multiLevelType w:val="hybridMultilevel"/>
    <w:tmpl w:val="649C0C5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AC2062B"/>
    <w:multiLevelType w:val="hybridMultilevel"/>
    <w:tmpl w:val="B2CAA272"/>
    <w:lvl w:ilvl="0" w:tplc="1B02733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DA53B22"/>
    <w:multiLevelType w:val="hybridMultilevel"/>
    <w:tmpl w:val="F10859D2"/>
    <w:lvl w:ilvl="0" w:tplc="BBDA3816">
      <w:start w:val="1"/>
      <w:numFmt w:val="decimal"/>
      <w:lvlText w:val="%1."/>
      <w:lvlJc w:val="left"/>
      <w:pPr>
        <w:ind w:left="720" w:hanging="360"/>
      </w:pPr>
      <w:rPr>
        <w:rFonts w:ascii="Arial" w:hAnsi="Arial" w:cs="Arial" w:hint="default"/>
        <w:sz w:val="22"/>
        <w:szCs w:val="22"/>
        <w:vertAlign w:val="baseline"/>
      </w:rPr>
    </w:lvl>
    <w:lvl w:ilvl="1" w:tplc="22987B5A">
      <w:start w:val="1"/>
      <w:numFmt w:val="decimal"/>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A74E6"/>
    <w:multiLevelType w:val="hybridMultilevel"/>
    <w:tmpl w:val="C758242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nsid w:val="6A3118A6"/>
    <w:multiLevelType w:val="hybridMultilevel"/>
    <w:tmpl w:val="A8A409F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2F27E19"/>
    <w:multiLevelType w:val="hybridMultilevel"/>
    <w:tmpl w:val="CD641AAE"/>
    <w:lvl w:ilvl="0" w:tplc="8410E5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59A6F8B"/>
    <w:multiLevelType w:val="hybridMultilevel"/>
    <w:tmpl w:val="CC86D158"/>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8"/>
  </w:num>
  <w:num w:numId="4">
    <w:abstractNumId w:val="9"/>
  </w:num>
  <w:num w:numId="5">
    <w:abstractNumId w:val="5"/>
  </w:num>
  <w:num w:numId="6">
    <w:abstractNumId w:val="18"/>
  </w:num>
  <w:num w:numId="7">
    <w:abstractNumId w:val="3"/>
  </w:num>
  <w:num w:numId="8">
    <w:abstractNumId w:val="13"/>
  </w:num>
  <w:num w:numId="9">
    <w:abstractNumId w:val="12"/>
  </w:num>
  <w:num w:numId="10">
    <w:abstractNumId w:val="11"/>
  </w:num>
  <w:num w:numId="11">
    <w:abstractNumId w:val="16"/>
  </w:num>
  <w:num w:numId="12">
    <w:abstractNumId w:val="2"/>
  </w:num>
  <w:num w:numId="13">
    <w:abstractNumId w:val="7"/>
  </w:num>
  <w:num w:numId="14">
    <w:abstractNumId w:val="1"/>
  </w:num>
  <w:num w:numId="15">
    <w:abstractNumId w:val="4"/>
  </w:num>
  <w:num w:numId="16">
    <w:abstractNumId w:val="15"/>
  </w:num>
  <w:num w:numId="17">
    <w:abstractNumId w:val="14"/>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60"/>
    <w:rsid w:val="00032082"/>
    <w:rsid w:val="001326FC"/>
    <w:rsid w:val="00152EC4"/>
    <w:rsid w:val="001552F9"/>
    <w:rsid w:val="00173559"/>
    <w:rsid w:val="00194C77"/>
    <w:rsid w:val="001C51D4"/>
    <w:rsid w:val="001C7B6F"/>
    <w:rsid w:val="001E2395"/>
    <w:rsid w:val="001E28D0"/>
    <w:rsid w:val="001E7151"/>
    <w:rsid w:val="002001E5"/>
    <w:rsid w:val="0022483E"/>
    <w:rsid w:val="00372260"/>
    <w:rsid w:val="003A53EF"/>
    <w:rsid w:val="003E10BF"/>
    <w:rsid w:val="00460048"/>
    <w:rsid w:val="00495987"/>
    <w:rsid w:val="004A53DF"/>
    <w:rsid w:val="004D59A6"/>
    <w:rsid w:val="00580CC1"/>
    <w:rsid w:val="005974A5"/>
    <w:rsid w:val="005E5497"/>
    <w:rsid w:val="006025FF"/>
    <w:rsid w:val="00650278"/>
    <w:rsid w:val="006755EE"/>
    <w:rsid w:val="006D78B5"/>
    <w:rsid w:val="006F44EB"/>
    <w:rsid w:val="007128FA"/>
    <w:rsid w:val="00800480"/>
    <w:rsid w:val="008144A3"/>
    <w:rsid w:val="008417D3"/>
    <w:rsid w:val="00845CA0"/>
    <w:rsid w:val="00856F0A"/>
    <w:rsid w:val="00867F71"/>
    <w:rsid w:val="009338E4"/>
    <w:rsid w:val="009B2DD9"/>
    <w:rsid w:val="009F5168"/>
    <w:rsid w:val="00A754F1"/>
    <w:rsid w:val="00AB5C90"/>
    <w:rsid w:val="00B17146"/>
    <w:rsid w:val="00B406A5"/>
    <w:rsid w:val="00C10E4B"/>
    <w:rsid w:val="00CF6EA5"/>
    <w:rsid w:val="00D72FCB"/>
    <w:rsid w:val="00DE7E9E"/>
    <w:rsid w:val="00DF1490"/>
    <w:rsid w:val="00EA76E2"/>
    <w:rsid w:val="00EC2F89"/>
    <w:rsid w:val="00F2263A"/>
    <w:rsid w:val="00F24FA0"/>
    <w:rsid w:val="00F927B7"/>
    <w:rsid w:val="00F9658C"/>
    <w:rsid w:val="00FD18B1"/>
    <w:rsid w:val="00FF1F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60"/>
    <w:rPr>
      <w:color w:val="0000FF" w:themeColor="hyperlink"/>
      <w:u w:val="single"/>
    </w:rPr>
  </w:style>
  <w:style w:type="paragraph" w:styleId="Header">
    <w:name w:val="header"/>
    <w:basedOn w:val="Normal"/>
    <w:link w:val="HeaderChar"/>
    <w:uiPriority w:val="99"/>
    <w:unhideWhenUsed/>
    <w:rsid w:val="008417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17D3"/>
  </w:style>
  <w:style w:type="paragraph" w:styleId="Footer">
    <w:name w:val="footer"/>
    <w:basedOn w:val="Normal"/>
    <w:link w:val="FooterChar"/>
    <w:uiPriority w:val="99"/>
    <w:unhideWhenUsed/>
    <w:rsid w:val="008417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17D3"/>
  </w:style>
  <w:style w:type="paragraph" w:styleId="BalloonText">
    <w:name w:val="Balloon Text"/>
    <w:basedOn w:val="Normal"/>
    <w:link w:val="BalloonTextChar"/>
    <w:uiPriority w:val="99"/>
    <w:semiHidden/>
    <w:unhideWhenUsed/>
    <w:rsid w:val="0084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D3"/>
    <w:rPr>
      <w:rFonts w:ascii="Tahoma" w:hAnsi="Tahoma" w:cs="Tahoma"/>
      <w:sz w:val="16"/>
      <w:szCs w:val="16"/>
    </w:rPr>
  </w:style>
  <w:style w:type="paragraph" w:styleId="ListParagraph">
    <w:name w:val="List Paragraph"/>
    <w:basedOn w:val="Normal"/>
    <w:uiPriority w:val="34"/>
    <w:qFormat/>
    <w:rsid w:val="00173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60"/>
    <w:rPr>
      <w:color w:val="0000FF" w:themeColor="hyperlink"/>
      <w:u w:val="single"/>
    </w:rPr>
  </w:style>
  <w:style w:type="paragraph" w:styleId="Header">
    <w:name w:val="header"/>
    <w:basedOn w:val="Normal"/>
    <w:link w:val="HeaderChar"/>
    <w:uiPriority w:val="99"/>
    <w:unhideWhenUsed/>
    <w:rsid w:val="008417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17D3"/>
  </w:style>
  <w:style w:type="paragraph" w:styleId="Footer">
    <w:name w:val="footer"/>
    <w:basedOn w:val="Normal"/>
    <w:link w:val="FooterChar"/>
    <w:uiPriority w:val="99"/>
    <w:unhideWhenUsed/>
    <w:rsid w:val="008417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17D3"/>
  </w:style>
  <w:style w:type="paragraph" w:styleId="BalloonText">
    <w:name w:val="Balloon Text"/>
    <w:basedOn w:val="Normal"/>
    <w:link w:val="BalloonTextChar"/>
    <w:uiPriority w:val="99"/>
    <w:semiHidden/>
    <w:unhideWhenUsed/>
    <w:rsid w:val="0084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D3"/>
    <w:rPr>
      <w:rFonts w:ascii="Tahoma" w:hAnsi="Tahoma" w:cs="Tahoma"/>
      <w:sz w:val="16"/>
      <w:szCs w:val="16"/>
    </w:rPr>
  </w:style>
  <w:style w:type="paragraph" w:styleId="ListParagraph">
    <w:name w:val="List Paragraph"/>
    <w:basedOn w:val="Normal"/>
    <w:uiPriority w:val="34"/>
    <w:qFormat/>
    <w:rsid w:val="0017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9151">
      <w:bodyDiv w:val="1"/>
      <w:marLeft w:val="0"/>
      <w:marRight w:val="0"/>
      <w:marTop w:val="0"/>
      <w:marBottom w:val="0"/>
      <w:divBdr>
        <w:top w:val="none" w:sz="0" w:space="0" w:color="auto"/>
        <w:left w:val="none" w:sz="0" w:space="0" w:color="auto"/>
        <w:bottom w:val="none" w:sz="0" w:space="0" w:color="auto"/>
        <w:right w:val="none" w:sz="0" w:space="0" w:color="auto"/>
      </w:divBdr>
    </w:div>
    <w:div w:id="700934133">
      <w:bodyDiv w:val="1"/>
      <w:marLeft w:val="0"/>
      <w:marRight w:val="0"/>
      <w:marTop w:val="0"/>
      <w:marBottom w:val="0"/>
      <w:divBdr>
        <w:top w:val="none" w:sz="0" w:space="0" w:color="auto"/>
        <w:left w:val="none" w:sz="0" w:space="0" w:color="auto"/>
        <w:bottom w:val="none" w:sz="0" w:space="0" w:color="auto"/>
        <w:right w:val="none" w:sz="0" w:space="0" w:color="auto"/>
      </w:divBdr>
    </w:div>
    <w:div w:id="18213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reo@sugeval.fi.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geval.fi.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aceta.go.c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CB87B1610FEA4699E064FB7077E709" ma:contentTypeVersion="4" ma:contentTypeDescription="Crear nuevo documento." ma:contentTypeScope="" ma:versionID="87556fa9b25845333ed8112acb4da873">
  <xsd:schema xmlns:xsd="http://www.w3.org/2001/XMLSchema" xmlns:xs="http://www.w3.org/2001/XMLSchema" xmlns:p="http://schemas.microsoft.com/office/2006/metadata/properties" xmlns:ns1="87326fb9-7924-4761-b9ea-e2ca9548ae8d" xmlns:ns3="fc66ef79-2d66-4fa3-90bd-e4f186d8d369" targetNamespace="http://schemas.microsoft.com/office/2006/metadata/properties" ma:root="true" ma:fieldsID="7c5de24dd449862ce0f074c51e5539b4" ns1:_="" ns3:_="">
    <xsd:import namespace="87326fb9-7924-4761-b9ea-e2ca9548ae8d"/>
    <xsd:import namespace="fc66ef79-2d66-4fa3-90bd-e4f186d8d369"/>
    <xsd:element name="properties">
      <xsd:complexType>
        <xsd:sequence>
          <xsd:element name="documentManagement">
            <xsd:complexType>
              <xsd:all>
                <xsd:element ref="ns1:Aplicado_x0020_a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6fb9-7924-4761-b9ea-e2ca9548ae8d" elementFormDefault="qualified">
    <xsd:import namespace="http://schemas.microsoft.com/office/2006/documentManagement/types"/>
    <xsd:import namespace="http://schemas.microsoft.com/office/infopath/2007/PartnerControls"/>
    <xsd:element name="Aplicado_x0020_a_x003a_" ma:index="0" nillable="true" ma:displayName="Aplicado a" ma:format="Dropdown" ma:internalName="Aplicado_x0020_a_x003a_">
      <xsd:simpleType>
        <xsd:restriction base="dms:Choice">
          <xsd:enumeration value="Auditores Externos"/>
          <xsd:enumeration value="Bolsas de Valores"/>
          <xsd:enumeration value="Calificadoras de Riesgo"/>
          <xsd:enumeration value="Custodios y Centrales de Valores"/>
          <xsd:enumeration value="Emisiones de acciones"/>
          <xsd:enumeration value="Emisiones de deuda"/>
          <xsd:enumeration value="Ejecutivos de venta de fondos de Inversión"/>
          <xsd:enumeration value="Fideicomisos de titularización"/>
          <xsd:enumeration value="Fondos de Inversión"/>
          <xsd:enumeration value="Grupos Financieros"/>
          <xsd:enumeration value="Proveedores de Precios"/>
          <xsd:enumeration value="Proyectos de Infraestructura"/>
          <xsd:enumeration value="Soc. Administradoras de Fondos"/>
          <xsd:enumeration value="Soc. Fiduciarias"/>
          <xsd:enumeration value="Soc.Titularizadoras"/>
          <xsd:enumeration value="Universalidades"/>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licado_x0020_a_x003a_ xmlns="87326fb9-7924-4761-b9ea-e2ca9548ae8d">Emisiones de deuda</Aplicado_x0020_a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5F485-521F-4796-A91D-B89EABACF03E}"/>
</file>

<file path=customXml/itemProps2.xml><?xml version="1.0" encoding="utf-8"?>
<ds:datastoreItem xmlns:ds="http://schemas.openxmlformats.org/officeDocument/2006/customXml" ds:itemID="{75C504B3-A42F-441A-821A-09AAB4F92446}"/>
</file>

<file path=customXml/itemProps3.xml><?xml version="1.0" encoding="utf-8"?>
<ds:datastoreItem xmlns:ds="http://schemas.openxmlformats.org/officeDocument/2006/customXml" ds:itemID="{A864195F-BC5C-4D3F-A7BC-E221EFD192A1}"/>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garcialj</dc:creator>
  <cp:lastModifiedBy>castillosa</cp:lastModifiedBy>
  <cp:revision>2</cp:revision>
  <cp:lastPrinted>2012-05-09T16:44:00Z</cp:lastPrinted>
  <dcterms:created xsi:type="dcterms:W3CDTF">2015-10-08T19:45:00Z</dcterms:created>
  <dcterms:modified xsi:type="dcterms:W3CDTF">2015-10-08T19:45:00Z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0x0101009FCB87B1610FEA4699E064FB7077E709</vt:lpwstr>
  </property>
  <property fmtid="{D5CDD505-2E9C-101B-9397-08002B2CF9AE}" pid="3" name="Order">
    <vt:r8>15700</vt:r8>
  </property>
  <property fmtid="{D5CDD505-2E9C-101B-9397-08002B2CF9AE}" pid="4" name="Departamento">
    <vt:lpwstr>Oferta Pública</vt:lpwstr>
  </property>
</Properties>
</file>