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Look w:val="04A0" w:firstRow="1" w:lastRow="0" w:firstColumn="1" w:lastColumn="0" w:noHBand="0" w:noVBand="1"/>
      </w:tblPr>
      <w:tblGrid>
        <w:gridCol w:w="4489"/>
        <w:gridCol w:w="5542"/>
      </w:tblGrid>
      <w:tr w:rsidR="00C10E4B" w:rsidRPr="00C72D0A" w:rsidTr="00BC1A28">
        <w:tc>
          <w:tcPr>
            <w:tcW w:w="10031" w:type="dxa"/>
            <w:gridSpan w:val="2"/>
            <w:shd w:val="clear" w:color="auto" w:fill="365F91" w:themeFill="accent1" w:themeFillShade="BF"/>
          </w:tcPr>
          <w:p w:rsidR="00372260" w:rsidRPr="00C72D0A" w:rsidRDefault="00372260" w:rsidP="00372260">
            <w:pPr>
              <w:jc w:val="center"/>
              <w:rPr>
                <w:rFonts w:cs="Arial"/>
                <w:color w:val="FFFFFF" w:themeColor="background1"/>
              </w:rPr>
            </w:pPr>
          </w:p>
          <w:p w:rsidR="00372260" w:rsidRPr="00C72D0A" w:rsidRDefault="00372260" w:rsidP="008E42A6">
            <w:pPr>
              <w:shd w:val="clear" w:color="auto" w:fill="365F91" w:themeFill="accent1" w:themeFillShade="BF"/>
              <w:jc w:val="center"/>
              <w:rPr>
                <w:rFonts w:cs="Arial"/>
                <w:b/>
                <w:color w:val="FFFFFF" w:themeColor="background1"/>
              </w:rPr>
            </w:pPr>
            <w:r w:rsidRPr="00C72D0A">
              <w:rPr>
                <w:rFonts w:cs="Arial"/>
                <w:b/>
                <w:color w:val="FFFFFF" w:themeColor="background1"/>
              </w:rPr>
              <w:t>INFORMACIÓN SOBRE EL TRÁMITE</w:t>
            </w:r>
          </w:p>
          <w:p w:rsidR="00372260" w:rsidRPr="00C72D0A" w:rsidRDefault="00372260" w:rsidP="00372260">
            <w:pPr>
              <w:jc w:val="center"/>
              <w:rPr>
                <w:rFonts w:cs="Arial"/>
                <w:color w:val="FFFFFF" w:themeColor="background1"/>
              </w:rPr>
            </w:pPr>
          </w:p>
        </w:tc>
      </w:tr>
      <w:tr w:rsidR="00372260" w:rsidRPr="00C72D0A" w:rsidTr="00BC1A28">
        <w:trPr>
          <w:trHeight w:val="454"/>
        </w:trPr>
        <w:tc>
          <w:tcPr>
            <w:tcW w:w="4489" w:type="dxa"/>
            <w:shd w:val="clear" w:color="auto" w:fill="808080" w:themeFill="background1" w:themeFillShade="80"/>
            <w:vAlign w:val="center"/>
          </w:tcPr>
          <w:p w:rsidR="00372260" w:rsidRPr="00C72D0A" w:rsidRDefault="00372260" w:rsidP="00C10E4B">
            <w:pPr>
              <w:jc w:val="both"/>
              <w:rPr>
                <w:rFonts w:cs="Arial"/>
                <w:b/>
                <w:color w:val="FFFFFF" w:themeColor="background1"/>
              </w:rPr>
            </w:pPr>
            <w:r w:rsidRPr="00C72D0A">
              <w:rPr>
                <w:rFonts w:cs="Arial"/>
                <w:b/>
                <w:color w:val="FFFFFF" w:themeColor="background1"/>
              </w:rPr>
              <w:t>Nombre del trámite:</w:t>
            </w:r>
          </w:p>
        </w:tc>
        <w:tc>
          <w:tcPr>
            <w:tcW w:w="5542" w:type="dxa"/>
            <w:vAlign w:val="center"/>
          </w:tcPr>
          <w:p w:rsidR="00372260" w:rsidRPr="00C72D0A" w:rsidRDefault="00D67CE9" w:rsidP="00796884">
            <w:pPr>
              <w:jc w:val="both"/>
              <w:rPr>
                <w:rFonts w:cs="Arial"/>
                <w:b/>
              </w:rPr>
            </w:pPr>
            <w:r w:rsidRPr="00C72D0A">
              <w:rPr>
                <w:rFonts w:cs="Arial"/>
                <w:b/>
              </w:rPr>
              <w:t>Autorización de participantes y productos</w:t>
            </w:r>
          </w:p>
        </w:tc>
      </w:tr>
      <w:tr w:rsidR="00EC2F89" w:rsidRPr="00C72D0A" w:rsidTr="00BC1A28">
        <w:trPr>
          <w:trHeight w:val="454"/>
        </w:trPr>
        <w:tc>
          <w:tcPr>
            <w:tcW w:w="4489" w:type="dxa"/>
            <w:shd w:val="clear" w:color="auto" w:fill="808080" w:themeFill="background1" w:themeFillShade="80"/>
            <w:vAlign w:val="center"/>
          </w:tcPr>
          <w:p w:rsidR="00EC2F89" w:rsidRPr="00C72D0A" w:rsidRDefault="00EC2F89" w:rsidP="00947DB4">
            <w:pPr>
              <w:jc w:val="both"/>
              <w:rPr>
                <w:rFonts w:cs="Arial"/>
                <w:b/>
                <w:color w:val="FFFFFF" w:themeColor="background1"/>
              </w:rPr>
            </w:pPr>
            <w:r w:rsidRPr="00C72D0A">
              <w:rPr>
                <w:rFonts w:cs="Arial"/>
                <w:b/>
                <w:color w:val="FFFFFF" w:themeColor="background1"/>
              </w:rPr>
              <w:t>Licencia, autorización o permiso que se obtiene en el trámite:</w:t>
            </w:r>
          </w:p>
        </w:tc>
        <w:tc>
          <w:tcPr>
            <w:tcW w:w="5542" w:type="dxa"/>
            <w:vAlign w:val="center"/>
          </w:tcPr>
          <w:p w:rsidR="00EC2F89" w:rsidRPr="00C72D0A" w:rsidRDefault="00D67CE9" w:rsidP="00796884">
            <w:pPr>
              <w:jc w:val="both"/>
              <w:rPr>
                <w:rFonts w:cs="Arial"/>
                <w:b/>
              </w:rPr>
            </w:pPr>
            <w:r w:rsidRPr="00C72D0A">
              <w:rPr>
                <w:rFonts w:cs="Arial"/>
                <w:b/>
              </w:rPr>
              <w:t>A</w:t>
            </w:r>
            <w:r w:rsidR="00947DB4" w:rsidRPr="00C72D0A">
              <w:rPr>
                <w:rFonts w:cs="Arial"/>
                <w:b/>
              </w:rPr>
              <w:t>utorización para realizar oferta pública</w:t>
            </w:r>
            <w:r w:rsidR="00B979B5" w:rsidRPr="00C72D0A">
              <w:rPr>
                <w:rFonts w:cs="Arial"/>
                <w:b/>
              </w:rPr>
              <w:t xml:space="preserve"> de un fondo de inversión </w:t>
            </w:r>
            <w:r w:rsidR="00796884">
              <w:rPr>
                <w:rFonts w:cs="Arial"/>
                <w:b/>
              </w:rPr>
              <w:t>no financiero</w:t>
            </w:r>
          </w:p>
        </w:tc>
      </w:tr>
      <w:tr w:rsidR="00EC2F89" w:rsidRPr="00C72D0A" w:rsidTr="00BC1A28">
        <w:trPr>
          <w:trHeight w:val="454"/>
        </w:trPr>
        <w:tc>
          <w:tcPr>
            <w:tcW w:w="4489" w:type="dxa"/>
            <w:shd w:val="clear" w:color="auto" w:fill="808080" w:themeFill="background1" w:themeFillShade="80"/>
            <w:vAlign w:val="center"/>
          </w:tcPr>
          <w:p w:rsidR="00EC2F89" w:rsidRPr="00C72D0A" w:rsidRDefault="00EC2F89" w:rsidP="00C10E4B">
            <w:pPr>
              <w:jc w:val="both"/>
              <w:rPr>
                <w:rFonts w:cs="Arial"/>
                <w:b/>
                <w:color w:val="FFFFFF" w:themeColor="background1"/>
              </w:rPr>
            </w:pPr>
            <w:r w:rsidRPr="00C72D0A">
              <w:rPr>
                <w:rFonts w:cs="Arial"/>
                <w:b/>
                <w:color w:val="FFFFFF" w:themeColor="background1"/>
              </w:rPr>
              <w:t>Institución:</w:t>
            </w:r>
          </w:p>
        </w:tc>
        <w:tc>
          <w:tcPr>
            <w:tcW w:w="5542" w:type="dxa"/>
            <w:vAlign w:val="center"/>
          </w:tcPr>
          <w:p w:rsidR="00EC2F89" w:rsidRPr="00C72D0A" w:rsidRDefault="00EC2F89" w:rsidP="00C10E4B">
            <w:pPr>
              <w:jc w:val="both"/>
              <w:rPr>
                <w:rFonts w:cs="Arial"/>
                <w:b/>
              </w:rPr>
            </w:pPr>
            <w:r w:rsidRPr="00C72D0A">
              <w:rPr>
                <w:rFonts w:cs="Arial"/>
                <w:b/>
              </w:rPr>
              <w:t>Superintendencia General de Valores</w:t>
            </w:r>
          </w:p>
        </w:tc>
      </w:tr>
      <w:tr w:rsidR="00EC2F89" w:rsidRPr="00C72D0A" w:rsidTr="00BC1A28">
        <w:trPr>
          <w:trHeight w:val="454"/>
        </w:trPr>
        <w:tc>
          <w:tcPr>
            <w:tcW w:w="4489" w:type="dxa"/>
            <w:shd w:val="clear" w:color="auto" w:fill="808080" w:themeFill="background1" w:themeFillShade="80"/>
            <w:vAlign w:val="center"/>
          </w:tcPr>
          <w:p w:rsidR="00EC2F89" w:rsidRPr="00C72D0A" w:rsidRDefault="00EC2F89" w:rsidP="00C10E4B">
            <w:pPr>
              <w:jc w:val="both"/>
              <w:rPr>
                <w:rFonts w:cs="Arial"/>
                <w:b/>
                <w:color w:val="FFFFFF" w:themeColor="background1"/>
              </w:rPr>
            </w:pPr>
            <w:r w:rsidRPr="00C72D0A">
              <w:rPr>
                <w:rFonts w:cs="Arial"/>
                <w:b/>
                <w:color w:val="FFFFFF" w:themeColor="background1"/>
              </w:rPr>
              <w:t>Dependencia:</w:t>
            </w:r>
          </w:p>
        </w:tc>
        <w:tc>
          <w:tcPr>
            <w:tcW w:w="5542" w:type="dxa"/>
            <w:vAlign w:val="center"/>
          </w:tcPr>
          <w:p w:rsidR="00EC2F89" w:rsidRPr="00C72D0A" w:rsidRDefault="00EC2F89" w:rsidP="00C10E4B">
            <w:pPr>
              <w:jc w:val="both"/>
              <w:rPr>
                <w:rFonts w:cs="Arial"/>
                <w:b/>
              </w:rPr>
            </w:pPr>
            <w:r w:rsidRPr="00C72D0A">
              <w:rPr>
                <w:rFonts w:cs="Arial"/>
                <w:b/>
              </w:rPr>
              <w:t>Departamento de Oferta Pública</w:t>
            </w:r>
          </w:p>
        </w:tc>
      </w:tr>
      <w:tr w:rsidR="00EC2F89" w:rsidRPr="00C72D0A" w:rsidTr="00BC1A28">
        <w:trPr>
          <w:trHeight w:val="454"/>
        </w:trPr>
        <w:tc>
          <w:tcPr>
            <w:tcW w:w="10031" w:type="dxa"/>
            <w:gridSpan w:val="2"/>
            <w:tcBorders>
              <w:bottom w:val="single" w:sz="4" w:space="0" w:color="auto"/>
            </w:tcBorders>
            <w:shd w:val="clear" w:color="auto" w:fill="808080" w:themeFill="background1" w:themeFillShade="80"/>
            <w:vAlign w:val="center"/>
          </w:tcPr>
          <w:p w:rsidR="00EC2F89" w:rsidRPr="00C72D0A" w:rsidRDefault="00EC2F89" w:rsidP="008F3092">
            <w:pPr>
              <w:rPr>
                <w:rFonts w:cs="Arial"/>
                <w:b/>
              </w:rPr>
            </w:pPr>
            <w:r w:rsidRPr="00C72D0A">
              <w:rPr>
                <w:rFonts w:cs="Arial"/>
                <w:b/>
                <w:color w:val="FFFFFF" w:themeColor="background1"/>
              </w:rPr>
              <w:t>Requisito</w:t>
            </w:r>
            <w:r w:rsidR="00D67CE9" w:rsidRPr="00C72D0A">
              <w:rPr>
                <w:rFonts w:cs="Arial"/>
                <w:b/>
                <w:color w:val="FFFFFF" w:themeColor="background1"/>
              </w:rPr>
              <w:t>s</w:t>
            </w:r>
          </w:p>
        </w:tc>
      </w:tr>
      <w:tr w:rsidR="00EC2F89" w:rsidRPr="00C72D0A" w:rsidTr="00BC1A28">
        <w:trPr>
          <w:trHeight w:val="454"/>
        </w:trPr>
        <w:tc>
          <w:tcPr>
            <w:tcW w:w="10031" w:type="dxa"/>
            <w:gridSpan w:val="2"/>
            <w:tcBorders>
              <w:bottom w:val="nil"/>
            </w:tcBorders>
            <w:vAlign w:val="center"/>
          </w:tcPr>
          <w:p w:rsidR="00BC1A28" w:rsidRPr="00C72D0A" w:rsidRDefault="00BC1A28" w:rsidP="00BC1A28">
            <w:pPr>
              <w:pStyle w:val="ListParagraph"/>
              <w:ind w:left="360"/>
              <w:jc w:val="both"/>
              <w:rPr>
                <w:rFonts w:eastAsia="Times New Roman" w:cs="Arial"/>
                <w:lang w:eastAsia="es-CR"/>
              </w:rPr>
            </w:pPr>
          </w:p>
          <w:p w:rsidR="00DB28DB" w:rsidRPr="00C72D0A" w:rsidRDefault="00DB28DB" w:rsidP="00F866D4">
            <w:pPr>
              <w:pStyle w:val="ListParagraph"/>
              <w:numPr>
                <w:ilvl w:val="0"/>
                <w:numId w:val="22"/>
              </w:numPr>
              <w:jc w:val="both"/>
              <w:rPr>
                <w:rFonts w:eastAsia="Times New Roman" w:cs="Arial"/>
                <w:lang w:eastAsia="es-CR"/>
              </w:rPr>
            </w:pPr>
            <w:r w:rsidRPr="00C72D0A">
              <w:rPr>
                <w:rFonts w:eastAsia="Times New Roman" w:cs="Arial"/>
                <w:lang w:eastAsia="es-CR"/>
              </w:rPr>
              <w:t>Solicitud suscrita por el representante legal que contenga:</w:t>
            </w:r>
          </w:p>
          <w:p w:rsidR="00DB28DB" w:rsidRPr="00C72D0A" w:rsidRDefault="00DB28DB" w:rsidP="00F866D4">
            <w:pPr>
              <w:pStyle w:val="ListParagraph"/>
              <w:numPr>
                <w:ilvl w:val="0"/>
                <w:numId w:val="28"/>
              </w:numPr>
              <w:jc w:val="both"/>
              <w:rPr>
                <w:rFonts w:eastAsia="Times New Roman" w:cs="Arial"/>
                <w:lang w:eastAsia="es-CR"/>
              </w:rPr>
            </w:pPr>
            <w:r w:rsidRPr="00C72D0A">
              <w:rPr>
                <w:rFonts w:eastAsia="Times New Roman" w:cs="Arial"/>
                <w:lang w:eastAsia="es-CR"/>
              </w:rPr>
              <w:t>Descripción breve de las cara</w:t>
            </w:r>
            <w:r w:rsidR="008C2C8C" w:rsidRPr="00C72D0A">
              <w:rPr>
                <w:rFonts w:eastAsia="Times New Roman" w:cs="Arial"/>
                <w:lang w:eastAsia="es-CR"/>
              </w:rPr>
              <w:t>c</w:t>
            </w:r>
            <w:r w:rsidRPr="00C72D0A">
              <w:rPr>
                <w:rFonts w:eastAsia="Times New Roman" w:cs="Arial"/>
                <w:lang w:eastAsia="es-CR"/>
              </w:rPr>
              <w:t>terísticas del fondo de inversión</w:t>
            </w:r>
          </w:p>
          <w:p w:rsidR="00DB28DB" w:rsidRPr="00C72D0A" w:rsidRDefault="00DB28DB" w:rsidP="00F866D4">
            <w:pPr>
              <w:pStyle w:val="ListParagraph"/>
              <w:numPr>
                <w:ilvl w:val="0"/>
                <w:numId w:val="28"/>
              </w:numPr>
              <w:jc w:val="both"/>
              <w:rPr>
                <w:rFonts w:eastAsia="Times New Roman" w:cs="Arial"/>
                <w:lang w:eastAsia="es-CR"/>
              </w:rPr>
            </w:pPr>
            <w:r w:rsidRPr="00C72D0A">
              <w:rPr>
                <w:rFonts w:eastAsia="Times New Roman" w:cs="Arial"/>
                <w:lang w:eastAsia="es-CR"/>
              </w:rPr>
              <w:t xml:space="preserve">Descripción del tipo de trámite que se desea realizar </w:t>
            </w:r>
          </w:p>
          <w:p w:rsidR="00DB28DB" w:rsidRPr="00C72D0A" w:rsidRDefault="00DB28DB" w:rsidP="00F866D4">
            <w:pPr>
              <w:pStyle w:val="ListParagraph"/>
              <w:numPr>
                <w:ilvl w:val="0"/>
                <w:numId w:val="22"/>
              </w:numPr>
              <w:jc w:val="both"/>
              <w:rPr>
                <w:rFonts w:eastAsia="Times New Roman" w:cs="Arial"/>
                <w:lang w:eastAsia="es-CR"/>
              </w:rPr>
            </w:pPr>
            <w:r w:rsidRPr="00C72D0A">
              <w:rPr>
                <w:rFonts w:eastAsia="Times New Roman" w:cs="Arial"/>
                <w:lang w:eastAsia="es-CR"/>
              </w:rPr>
              <w:t xml:space="preserve">Copia certificada </w:t>
            </w:r>
            <w:r w:rsidR="00C400C5" w:rsidRPr="00C72D0A">
              <w:rPr>
                <w:rFonts w:eastAsia="Times New Roman" w:cs="Arial"/>
                <w:lang w:eastAsia="es-CR"/>
              </w:rPr>
              <w:t>o</w:t>
            </w:r>
            <w:r w:rsidRPr="00C72D0A">
              <w:rPr>
                <w:rFonts w:eastAsia="Times New Roman" w:cs="Arial"/>
                <w:lang w:eastAsia="es-CR"/>
              </w:rPr>
              <w:t xml:space="preserve"> testimonio de la protocolización del acta de junta directiva que haya acordado la constitución del fondo. </w:t>
            </w:r>
          </w:p>
          <w:p w:rsidR="00DB28DB" w:rsidRPr="00C72D0A" w:rsidRDefault="008F3092" w:rsidP="00F866D4">
            <w:pPr>
              <w:pStyle w:val="ListParagraph"/>
              <w:numPr>
                <w:ilvl w:val="0"/>
                <w:numId w:val="22"/>
              </w:numPr>
              <w:jc w:val="both"/>
              <w:rPr>
                <w:rFonts w:eastAsia="Times New Roman" w:cs="Arial"/>
                <w:lang w:eastAsia="es-CR"/>
              </w:rPr>
            </w:pPr>
            <w:r>
              <w:rPr>
                <w:rFonts w:eastAsia="Times New Roman" w:cs="Arial"/>
                <w:lang w:eastAsia="es-CR"/>
              </w:rPr>
              <w:t>P</w:t>
            </w:r>
            <w:r w:rsidR="00141895" w:rsidRPr="00C72D0A">
              <w:rPr>
                <w:rFonts w:eastAsia="Times New Roman" w:cs="Arial"/>
                <w:lang w:eastAsia="es-CR"/>
              </w:rPr>
              <w:t>rospecto</w:t>
            </w:r>
            <w:r w:rsidR="00C72D0A" w:rsidRPr="00C72D0A">
              <w:rPr>
                <w:rFonts w:eastAsia="Times New Roman" w:cs="Arial"/>
                <w:lang w:eastAsia="es-CR"/>
              </w:rPr>
              <w:t xml:space="preserve"> en formato electrónico</w:t>
            </w:r>
            <w:r w:rsidR="00141895" w:rsidRPr="00C72D0A">
              <w:rPr>
                <w:rFonts w:eastAsia="Times New Roman" w:cs="Arial"/>
                <w:lang w:eastAsia="es-CR"/>
              </w:rPr>
              <w:t>.</w:t>
            </w:r>
          </w:p>
          <w:p w:rsidR="00DB28DB" w:rsidRPr="00C72D0A" w:rsidRDefault="00DB28DB" w:rsidP="00717BD0">
            <w:pPr>
              <w:pStyle w:val="ListParagraph"/>
              <w:numPr>
                <w:ilvl w:val="0"/>
                <w:numId w:val="22"/>
              </w:numPr>
              <w:jc w:val="both"/>
              <w:rPr>
                <w:rFonts w:eastAsia="Times New Roman" w:cs="Arial"/>
                <w:lang w:eastAsia="es-CR"/>
              </w:rPr>
            </w:pPr>
            <w:r w:rsidRPr="00C72D0A">
              <w:rPr>
                <w:rFonts w:eastAsia="Times New Roman" w:cs="Arial"/>
                <w:lang w:eastAsia="es-CR"/>
              </w:rPr>
              <w:t>Borrador de la declaración jurada de la implantación del Manual de procedimientos para los procesos críticos en la administración del tipo de fondo que se solicita la autorización</w:t>
            </w:r>
            <w:r w:rsidR="000F0CDD" w:rsidRPr="00C72D0A">
              <w:rPr>
                <w:rFonts w:eastAsia="Times New Roman" w:cs="Arial"/>
                <w:lang w:eastAsia="es-CR"/>
              </w:rPr>
              <w:t>, de acuerdo con el f</w:t>
            </w:r>
            <w:r w:rsidR="00CD385C" w:rsidRPr="00C72D0A">
              <w:rPr>
                <w:rFonts w:eastAsia="Times New Roman" w:cs="Arial"/>
                <w:lang w:eastAsia="es-CR"/>
              </w:rPr>
              <w:t>ormato establecido en el anexo 2</w:t>
            </w:r>
            <w:r w:rsidR="000F0CDD" w:rsidRPr="00C72D0A">
              <w:rPr>
                <w:rFonts w:eastAsia="Times New Roman" w:cs="Arial"/>
                <w:lang w:eastAsia="es-CR"/>
              </w:rPr>
              <w:t xml:space="preserve"> del acuerdo SGV-A-170.</w:t>
            </w:r>
            <w:r w:rsidR="00717BD0" w:rsidRPr="00C72D0A">
              <w:rPr>
                <w:rFonts w:eastAsia="Times New Roman" w:cs="Arial"/>
                <w:lang w:eastAsia="es-CR"/>
              </w:rPr>
              <w:t xml:space="preserve"> </w:t>
            </w:r>
            <w:r w:rsidRPr="00C72D0A">
              <w:rPr>
                <w:rFonts w:eastAsia="Times New Roman" w:cs="Arial"/>
                <w:lang w:eastAsia="es-CR"/>
              </w:rPr>
              <w:t xml:space="preserve">Este requisito aplica para </w:t>
            </w:r>
            <w:r w:rsidR="00484E1B" w:rsidRPr="00484E1B">
              <w:rPr>
                <w:rFonts w:eastAsia="Times New Roman" w:cs="Arial"/>
                <w:lang w:eastAsia="es-ES"/>
              </w:rPr>
              <w:t>fondos de inversión inmobiliarios, de desarrollo de proyectos,</w:t>
            </w:r>
            <w:r w:rsidR="00A94B20">
              <w:rPr>
                <w:rFonts w:eastAsia="Times New Roman" w:cs="Arial"/>
                <w:lang w:eastAsia="es-ES"/>
              </w:rPr>
              <w:t xml:space="preserve"> o</w:t>
            </w:r>
            <w:r w:rsidR="00484E1B" w:rsidRPr="00484E1B">
              <w:rPr>
                <w:rFonts w:eastAsia="Times New Roman" w:cs="Arial"/>
                <w:lang w:eastAsia="es-ES"/>
              </w:rPr>
              <w:t xml:space="preserve"> de procesos de titularización </w:t>
            </w:r>
            <w:r w:rsidR="00484E1B" w:rsidRPr="00484E1B">
              <w:rPr>
                <w:rFonts w:eastAsia="Times New Roman" w:cs="Arial"/>
                <w:lang w:val="es-ES_tradnl" w:eastAsia="es-ES"/>
              </w:rPr>
              <w:t>que como parte de su política de inversión consideran la inversión en productos estructurados</w:t>
            </w:r>
            <w:r w:rsidRPr="00C72D0A">
              <w:rPr>
                <w:rFonts w:eastAsia="Times New Roman" w:cs="Arial"/>
                <w:lang w:eastAsia="es-CR"/>
              </w:rPr>
              <w:t>.</w:t>
            </w:r>
            <w:r w:rsidR="00297C15" w:rsidRPr="00C72D0A">
              <w:rPr>
                <w:rFonts w:eastAsia="Times New Roman" w:cs="Arial"/>
                <w:lang w:eastAsia="es-CR"/>
              </w:rPr>
              <w:t xml:space="preserve"> </w:t>
            </w:r>
            <w:r w:rsidR="00297C15" w:rsidRPr="00C72D0A">
              <w:rPr>
                <w:rFonts w:eastAsia="Times New Roman" w:cs="Arial"/>
                <w:b/>
                <w:i/>
                <w:lang w:eastAsia="es-CR"/>
              </w:rPr>
              <w:t>(Aplica en caso de ser el primer fondo de inversión de este tipo que inscriba la sociedad administradora).</w:t>
            </w:r>
          </w:p>
          <w:p w:rsidR="00DB28DB" w:rsidRPr="00C72D0A" w:rsidRDefault="00DB28DB" w:rsidP="00F866D4">
            <w:pPr>
              <w:pStyle w:val="ListParagraph"/>
              <w:numPr>
                <w:ilvl w:val="0"/>
                <w:numId w:val="22"/>
              </w:numPr>
              <w:jc w:val="both"/>
              <w:rPr>
                <w:rFonts w:eastAsia="Times New Roman" w:cs="Arial"/>
                <w:lang w:eastAsia="es-CR"/>
              </w:rPr>
            </w:pPr>
            <w:r w:rsidRPr="00C72D0A">
              <w:rPr>
                <w:rFonts w:eastAsia="Times New Roman" w:cs="Arial"/>
                <w:lang w:eastAsia="es-CR"/>
              </w:rPr>
              <w:t>Borrador de documento de garantía (en caso de fondos de principal garantizado).</w:t>
            </w:r>
          </w:p>
          <w:p w:rsidR="00F866D4" w:rsidRPr="006D5012" w:rsidRDefault="0045254A" w:rsidP="00141895">
            <w:pPr>
              <w:pStyle w:val="ListParagraph"/>
              <w:numPr>
                <w:ilvl w:val="0"/>
                <w:numId w:val="22"/>
              </w:numPr>
              <w:jc w:val="both"/>
              <w:rPr>
                <w:rFonts w:eastAsia="Times New Roman" w:cs="Arial"/>
                <w:lang w:eastAsia="es-CR"/>
              </w:rPr>
            </w:pPr>
            <w:r w:rsidRPr="006D5012">
              <w:rPr>
                <w:rFonts w:eastAsia="Times New Roman" w:cs="Arial"/>
                <w:lang w:eastAsia="es-CR"/>
              </w:rPr>
              <w:t xml:space="preserve">En caso de fondos inmobiliarios o de desarrollo de proyectos que pretendan adquirir inmuebles </w:t>
            </w:r>
            <w:r w:rsidR="00141895" w:rsidRPr="006D5012">
              <w:rPr>
                <w:rFonts w:eastAsia="Times New Roman" w:cs="Arial"/>
                <w:lang w:eastAsia="es-CR"/>
              </w:rPr>
              <w:t xml:space="preserve">en el </w:t>
            </w:r>
            <w:r w:rsidRPr="006D5012">
              <w:rPr>
                <w:rFonts w:eastAsia="Times New Roman" w:cs="Arial"/>
                <w:lang w:eastAsia="es-CR"/>
              </w:rPr>
              <w:t xml:space="preserve"> exterior</w:t>
            </w:r>
            <w:r w:rsidR="00141895" w:rsidRPr="006D5012">
              <w:rPr>
                <w:rFonts w:eastAsia="Times New Roman" w:cs="Arial"/>
                <w:lang w:eastAsia="es-CR"/>
              </w:rPr>
              <w:t>,</w:t>
            </w:r>
            <w:r w:rsidRPr="006D5012">
              <w:rPr>
                <w:rFonts w:eastAsia="Times New Roman" w:cs="Arial"/>
                <w:lang w:eastAsia="es-CR"/>
              </w:rPr>
              <w:t xml:space="preserve"> c</w:t>
            </w:r>
            <w:r w:rsidR="00AF7AF8" w:rsidRPr="006D5012">
              <w:rPr>
                <w:rFonts w:eastAsia="Times New Roman" w:cs="Arial"/>
                <w:lang w:eastAsia="es-CR"/>
              </w:rPr>
              <w:t>riterio legal por un profesional en derecho del país o jurisdicción donde se realizarán las inversiones</w:t>
            </w:r>
            <w:r w:rsidR="0007140F" w:rsidRPr="006D5012">
              <w:rPr>
                <w:rFonts w:eastAsia="Times New Roman" w:cs="Arial"/>
                <w:lang w:eastAsia="es-CR"/>
              </w:rPr>
              <w:t xml:space="preserve"> inmobiliarias</w:t>
            </w:r>
            <w:r w:rsidRPr="006D5012">
              <w:rPr>
                <w:rFonts w:eastAsia="Times New Roman" w:cs="Arial"/>
                <w:lang w:eastAsia="es-CR"/>
              </w:rPr>
              <w:t>,</w:t>
            </w:r>
            <w:r w:rsidR="0007140F" w:rsidRPr="006D5012">
              <w:rPr>
                <w:rFonts w:eastAsia="Times New Roman" w:cs="Arial"/>
                <w:lang w:eastAsia="es-CR"/>
              </w:rPr>
              <w:t xml:space="preserve"> acorde con lo definido en el artículo 12 y anexo 2 del acuerdo SGV-A-158</w:t>
            </w:r>
            <w:r w:rsidR="00AF7AF8" w:rsidRPr="006D5012">
              <w:rPr>
                <w:rFonts w:eastAsia="Times New Roman" w:cs="Arial"/>
                <w:lang w:eastAsia="es-CR"/>
              </w:rPr>
              <w:t xml:space="preserve">. </w:t>
            </w:r>
          </w:p>
          <w:p w:rsidR="005E18DA" w:rsidRPr="00C871D8" w:rsidRDefault="005E18DA" w:rsidP="00C871D8">
            <w:pPr>
              <w:jc w:val="both"/>
              <w:rPr>
                <w:rFonts w:eastAsia="Times New Roman" w:cs="Arial"/>
                <w:lang w:eastAsia="es-CR"/>
              </w:rPr>
            </w:pPr>
            <w:r w:rsidRPr="00041649">
              <w:rPr>
                <w:rFonts w:eastAsia="Times New Roman" w:cs="Arial"/>
                <w:lang w:eastAsia="es-CR"/>
              </w:rPr>
              <w:t>Adicionalmente</w:t>
            </w:r>
            <w:r w:rsidR="00C400C5" w:rsidRPr="00041649">
              <w:rPr>
                <w:rFonts w:eastAsia="Times New Roman" w:cs="Arial"/>
                <w:lang w:eastAsia="es-CR"/>
              </w:rPr>
              <w:t xml:space="preserve">, </w:t>
            </w:r>
            <w:r w:rsidRPr="00041649">
              <w:rPr>
                <w:rFonts w:eastAsia="Times New Roman" w:cs="Arial"/>
                <w:lang w:eastAsia="es-CR"/>
              </w:rPr>
              <w:t xml:space="preserve"> en el caso de fondo de proy</w:t>
            </w:r>
            <w:r w:rsidR="003848CA">
              <w:rPr>
                <w:rFonts w:eastAsia="Times New Roman" w:cs="Arial"/>
                <w:lang w:eastAsia="es-CR"/>
              </w:rPr>
              <w:t>ectos se solicitan los</w:t>
            </w:r>
            <w:r w:rsidR="00C871D8">
              <w:rPr>
                <w:rFonts w:eastAsia="Times New Roman" w:cs="Arial"/>
                <w:lang w:eastAsia="es-CR"/>
              </w:rPr>
              <w:t xml:space="preserve"> c</w:t>
            </w:r>
            <w:r w:rsidRPr="00C871D8">
              <w:rPr>
                <w:rFonts w:eastAsia="Times New Roman" w:cs="Arial"/>
                <w:lang w:eastAsia="es-CR"/>
              </w:rPr>
              <w:t xml:space="preserve">ontratos </w:t>
            </w:r>
            <w:r w:rsidR="00C400C5" w:rsidRPr="00C871D8">
              <w:rPr>
                <w:rFonts w:eastAsia="Times New Roman" w:cs="Arial"/>
                <w:lang w:eastAsia="es-CR"/>
              </w:rPr>
              <w:t xml:space="preserve">refrendados </w:t>
            </w:r>
            <w:r w:rsidRPr="00C871D8">
              <w:rPr>
                <w:rFonts w:eastAsia="Times New Roman" w:cs="Arial"/>
                <w:lang w:eastAsia="es-CR"/>
              </w:rPr>
              <w:t>por la Contraloría General de la República</w:t>
            </w:r>
            <w:r w:rsidR="00C400C5" w:rsidRPr="00C871D8">
              <w:rPr>
                <w:rFonts w:eastAsia="Times New Roman" w:cs="Arial"/>
                <w:lang w:eastAsia="es-CR"/>
              </w:rPr>
              <w:t>,</w:t>
            </w:r>
            <w:r w:rsidRPr="00C871D8">
              <w:rPr>
                <w:rFonts w:eastAsia="Times New Roman" w:cs="Arial"/>
                <w:lang w:eastAsia="es-CR"/>
              </w:rPr>
              <w:t xml:space="preserve"> en los casos en que </w:t>
            </w:r>
            <w:r w:rsidR="00C400C5" w:rsidRPr="00C871D8">
              <w:rPr>
                <w:rFonts w:eastAsia="Times New Roman" w:cs="Arial"/>
                <w:lang w:eastAsia="es-CR"/>
              </w:rPr>
              <w:t xml:space="preserve">en el proyecto </w:t>
            </w:r>
            <w:r w:rsidRPr="00C871D8">
              <w:rPr>
                <w:rFonts w:eastAsia="Times New Roman" w:cs="Arial"/>
                <w:lang w:eastAsia="es-CR"/>
              </w:rPr>
              <w:t xml:space="preserve">participe la Administración Pública. </w:t>
            </w:r>
          </w:p>
          <w:p w:rsidR="00FF7955" w:rsidRDefault="00FF7955" w:rsidP="0006189C">
            <w:pPr>
              <w:jc w:val="both"/>
              <w:rPr>
                <w:rFonts w:eastAsia="Times New Roman" w:cs="Arial"/>
                <w:lang w:eastAsia="es-CR"/>
              </w:rPr>
            </w:pPr>
          </w:p>
          <w:p w:rsidR="00BC1A28" w:rsidRDefault="008F3092" w:rsidP="0006189C">
            <w:pPr>
              <w:jc w:val="both"/>
              <w:rPr>
                <w:rFonts w:eastAsia="Times New Roman" w:cs="Arial"/>
                <w:lang w:eastAsia="es-CR"/>
              </w:rPr>
            </w:pPr>
            <w:r>
              <w:rPr>
                <w:rFonts w:eastAsia="Times New Roman" w:cs="Arial"/>
                <w:lang w:eastAsia="es-CR"/>
              </w:rPr>
              <w:t xml:space="preserve">Como parte del cumplimiento de requisitos </w:t>
            </w:r>
            <w:r w:rsidR="0006189C">
              <w:rPr>
                <w:rFonts w:eastAsia="Times New Roman" w:cs="Arial"/>
                <w:lang w:eastAsia="es-CR"/>
              </w:rPr>
              <w:t xml:space="preserve">finales </w:t>
            </w:r>
            <w:r>
              <w:rPr>
                <w:rFonts w:eastAsia="Times New Roman" w:cs="Arial"/>
                <w:lang w:eastAsia="es-CR"/>
              </w:rPr>
              <w:t xml:space="preserve">se deben presentar los </w:t>
            </w:r>
            <w:r w:rsidRPr="008F3092">
              <w:rPr>
                <w:rFonts w:eastAsia="Times New Roman" w:cs="Arial"/>
                <w:lang w:eastAsia="es-CR"/>
              </w:rPr>
              <w:t xml:space="preserve">originales </w:t>
            </w:r>
            <w:r>
              <w:rPr>
                <w:rFonts w:eastAsia="Times New Roman" w:cs="Arial"/>
                <w:lang w:eastAsia="es-CR"/>
              </w:rPr>
              <w:t>de los requisitos 2, 4, 5 y 6</w:t>
            </w:r>
            <w:r w:rsidR="0006189C">
              <w:rPr>
                <w:rFonts w:eastAsia="Times New Roman" w:cs="Arial"/>
                <w:lang w:eastAsia="es-CR"/>
              </w:rPr>
              <w:t xml:space="preserve">, adicionalmente se debe presentar: </w:t>
            </w:r>
          </w:p>
          <w:p w:rsidR="0006189C" w:rsidRDefault="0006189C" w:rsidP="0006189C">
            <w:pPr>
              <w:jc w:val="both"/>
              <w:rPr>
                <w:rFonts w:eastAsia="Times New Roman" w:cs="Arial"/>
                <w:lang w:eastAsia="es-CR"/>
              </w:rPr>
            </w:pPr>
          </w:p>
          <w:p w:rsidR="0006189C" w:rsidRPr="00C72D0A" w:rsidRDefault="0006189C" w:rsidP="0006189C">
            <w:pPr>
              <w:pStyle w:val="ListParagraph"/>
              <w:numPr>
                <w:ilvl w:val="0"/>
                <w:numId w:val="29"/>
              </w:numPr>
              <w:jc w:val="both"/>
              <w:rPr>
                <w:rFonts w:eastAsia="Times New Roman" w:cs="Arial"/>
                <w:lang w:eastAsia="es-CR"/>
              </w:rPr>
            </w:pPr>
            <w:r w:rsidRPr="00C72D0A">
              <w:rPr>
                <w:rFonts w:eastAsia="Times New Roman" w:cs="Arial"/>
                <w:lang w:eastAsia="es-CR"/>
              </w:rPr>
              <w:t>Declaración jurada sobre el procedimiento de solicitud de autorización de fondo de inversión, de acuerdo con el formato establecido en el anexo 4 del acuerdo SGV-A-158.</w:t>
            </w:r>
          </w:p>
          <w:p w:rsidR="0006189C" w:rsidRPr="00C72D0A" w:rsidRDefault="0006189C" w:rsidP="0006189C">
            <w:pPr>
              <w:pStyle w:val="ListParagraph"/>
              <w:numPr>
                <w:ilvl w:val="0"/>
                <w:numId w:val="29"/>
              </w:numPr>
              <w:jc w:val="both"/>
              <w:rPr>
                <w:rFonts w:eastAsia="Times New Roman" w:cs="Arial"/>
                <w:lang w:eastAsia="es-CR"/>
              </w:rPr>
            </w:pPr>
            <w:r w:rsidRPr="00C72D0A">
              <w:rPr>
                <w:rFonts w:eastAsia="Times New Roman" w:cs="Arial"/>
                <w:lang w:eastAsia="es-CR"/>
              </w:rPr>
              <w:t>Código ISIN emitido por una entidad codificadora autorizada.</w:t>
            </w:r>
          </w:p>
          <w:p w:rsidR="0006189C" w:rsidRPr="00C72D0A" w:rsidRDefault="0006189C" w:rsidP="0006189C">
            <w:pPr>
              <w:pStyle w:val="ListParagraph"/>
              <w:numPr>
                <w:ilvl w:val="0"/>
                <w:numId w:val="29"/>
              </w:numPr>
              <w:jc w:val="both"/>
              <w:rPr>
                <w:rFonts w:eastAsia="Times New Roman" w:cs="Arial"/>
                <w:lang w:eastAsia="es-CR"/>
              </w:rPr>
            </w:pPr>
            <w:r w:rsidRPr="00C72D0A">
              <w:rPr>
                <w:rFonts w:eastAsia="Times New Roman" w:cs="Arial"/>
                <w:lang w:eastAsia="es-CR"/>
              </w:rPr>
              <w:t>Declaración jurada rendida por el representante legal de la entidad colocadora de que realizó un proceso de debida diligencia sobre la información aportada por la entidad, según contenido mínimo de la declaración jurada del suscriptor incluido como anexo en el acuerdo SGV-A-84.</w:t>
            </w:r>
            <w:r>
              <w:rPr>
                <w:rFonts w:eastAsia="Times New Roman" w:cs="Arial"/>
                <w:lang w:eastAsia="es-CR"/>
              </w:rPr>
              <w:t xml:space="preserve"> </w:t>
            </w:r>
            <w:r w:rsidRPr="0006189C">
              <w:rPr>
                <w:rFonts w:eastAsia="Times New Roman" w:cs="Arial"/>
                <w:b/>
                <w:i/>
                <w:lang w:eastAsia="es-CR"/>
              </w:rPr>
              <w:t>(Aplica en caso de que se suscriban contratos de suscripción en firme y en garantía para la colocación de las participaciones)</w:t>
            </w:r>
          </w:p>
          <w:p w:rsidR="0006189C" w:rsidRPr="008F3092" w:rsidRDefault="0006189C" w:rsidP="0006189C">
            <w:pPr>
              <w:jc w:val="both"/>
              <w:rPr>
                <w:rFonts w:eastAsia="Times New Roman" w:cs="Arial"/>
                <w:lang w:eastAsia="es-CR"/>
              </w:rPr>
            </w:pPr>
          </w:p>
        </w:tc>
      </w:tr>
      <w:tr w:rsidR="003A53EF" w:rsidRPr="00C72D0A" w:rsidTr="00BC1A28">
        <w:trPr>
          <w:trHeight w:val="454"/>
        </w:trPr>
        <w:tc>
          <w:tcPr>
            <w:tcW w:w="4489" w:type="dxa"/>
            <w:tcBorders>
              <w:top w:val="single" w:sz="4" w:space="0" w:color="auto"/>
            </w:tcBorders>
            <w:shd w:val="clear" w:color="auto" w:fill="808080" w:themeFill="background1" w:themeFillShade="80"/>
            <w:vAlign w:val="center"/>
          </w:tcPr>
          <w:p w:rsidR="003A53EF" w:rsidRPr="00C72D0A" w:rsidRDefault="003A53EF" w:rsidP="00947DB4">
            <w:pPr>
              <w:autoSpaceDE w:val="0"/>
              <w:autoSpaceDN w:val="0"/>
              <w:adjustRightInd w:val="0"/>
              <w:rPr>
                <w:rFonts w:cs="Arial"/>
                <w:sz w:val="14"/>
              </w:rPr>
            </w:pPr>
            <w:r w:rsidRPr="00C72D0A">
              <w:rPr>
                <w:rFonts w:cs="Arial"/>
                <w:b/>
                <w:color w:val="FFFFFF" w:themeColor="background1"/>
              </w:rPr>
              <w:t>Fundamento legal</w:t>
            </w:r>
          </w:p>
        </w:tc>
        <w:tc>
          <w:tcPr>
            <w:tcW w:w="5542" w:type="dxa"/>
            <w:tcBorders>
              <w:top w:val="single" w:sz="4" w:space="0" w:color="auto"/>
            </w:tcBorders>
            <w:vAlign w:val="center"/>
          </w:tcPr>
          <w:p w:rsidR="002915E6" w:rsidRPr="00C72D0A" w:rsidRDefault="00A97E47" w:rsidP="00250D00">
            <w:pPr>
              <w:pStyle w:val="BodyTextIndent"/>
              <w:spacing w:before="120"/>
              <w:ind w:left="0" w:firstLine="0"/>
              <w:rPr>
                <w:rFonts w:asciiTheme="minorHAnsi" w:hAnsiTheme="minorHAnsi" w:cs="Arial"/>
                <w:sz w:val="22"/>
                <w:szCs w:val="22"/>
              </w:rPr>
            </w:pPr>
            <w:r w:rsidRPr="00C72D0A">
              <w:rPr>
                <w:rFonts w:asciiTheme="minorHAnsi" w:hAnsiTheme="minorHAnsi" w:cs="Arial"/>
                <w:sz w:val="22"/>
                <w:szCs w:val="22"/>
                <w:lang w:val="es-CR"/>
              </w:rPr>
              <w:t>Artículos 74</w:t>
            </w:r>
            <w:r w:rsidR="00006859" w:rsidRPr="00C72D0A">
              <w:rPr>
                <w:rFonts w:asciiTheme="minorHAnsi" w:hAnsiTheme="minorHAnsi" w:cs="Arial"/>
                <w:sz w:val="22"/>
                <w:szCs w:val="22"/>
                <w:lang w:val="es-CR"/>
              </w:rPr>
              <w:t xml:space="preserve"> y</w:t>
            </w:r>
            <w:r w:rsidRPr="00C72D0A">
              <w:rPr>
                <w:rFonts w:asciiTheme="minorHAnsi" w:hAnsiTheme="minorHAnsi" w:cs="Arial"/>
                <w:sz w:val="22"/>
                <w:szCs w:val="22"/>
                <w:lang w:val="es-CR"/>
              </w:rPr>
              <w:t xml:space="preserve"> 75</w:t>
            </w:r>
            <w:r w:rsidR="004D18C4" w:rsidRPr="00C72D0A">
              <w:rPr>
                <w:rFonts w:asciiTheme="minorHAnsi" w:hAnsiTheme="minorHAnsi" w:cs="Arial"/>
                <w:sz w:val="22"/>
                <w:szCs w:val="22"/>
              </w:rPr>
              <w:t xml:space="preserve"> de la Ley Reguladora del Mercado de Valores</w:t>
            </w:r>
            <w:r w:rsidRPr="00C72D0A">
              <w:rPr>
                <w:rFonts w:asciiTheme="minorHAnsi" w:hAnsiTheme="minorHAnsi" w:cs="Arial"/>
                <w:sz w:val="22"/>
                <w:szCs w:val="22"/>
              </w:rPr>
              <w:t>.</w:t>
            </w:r>
          </w:p>
          <w:p w:rsidR="006F401D" w:rsidRPr="00C72D0A" w:rsidRDefault="006F401D" w:rsidP="00250D00">
            <w:pPr>
              <w:widowControl w:val="0"/>
              <w:jc w:val="both"/>
              <w:rPr>
                <w:rFonts w:eastAsia="Times New Roman" w:cs="Arial"/>
                <w:lang w:val="es-ES" w:eastAsia="es-ES"/>
              </w:rPr>
            </w:pPr>
            <w:r w:rsidRPr="00C72D0A">
              <w:rPr>
                <w:rFonts w:eastAsia="Times New Roman" w:cs="Arial"/>
                <w:lang w:val="es-ES" w:eastAsia="es-ES"/>
              </w:rPr>
              <w:t xml:space="preserve">Artículos </w:t>
            </w:r>
            <w:r w:rsidR="006F1E59" w:rsidRPr="00C72D0A">
              <w:rPr>
                <w:rFonts w:eastAsia="Times New Roman" w:cs="Arial"/>
                <w:lang w:val="es-ES" w:eastAsia="es-ES"/>
              </w:rPr>
              <w:t>41, 42 y 43</w:t>
            </w:r>
            <w:r w:rsidRPr="00C72D0A">
              <w:rPr>
                <w:rFonts w:eastAsia="Times New Roman" w:cs="Arial"/>
                <w:lang w:val="es-ES" w:eastAsia="es-ES"/>
              </w:rPr>
              <w:t xml:space="preserve"> del Reglamento sobre Oferta Pública de Valores</w:t>
            </w:r>
          </w:p>
          <w:p w:rsidR="002915E6" w:rsidRPr="00C72D0A" w:rsidRDefault="00F24FA0" w:rsidP="00250D00">
            <w:pPr>
              <w:pStyle w:val="BodyTextIndent"/>
              <w:ind w:left="0" w:firstLine="0"/>
              <w:rPr>
                <w:rFonts w:asciiTheme="minorHAnsi" w:hAnsiTheme="minorHAnsi" w:cs="Arial"/>
                <w:bCs/>
                <w:color w:val="000000"/>
                <w:sz w:val="22"/>
                <w:szCs w:val="22"/>
                <w:lang w:val="es-CR" w:eastAsia="es-CR"/>
              </w:rPr>
            </w:pPr>
            <w:r w:rsidRPr="00C72D0A">
              <w:rPr>
                <w:rFonts w:asciiTheme="minorHAnsi" w:hAnsiTheme="minorHAnsi" w:cs="Arial"/>
                <w:sz w:val="22"/>
                <w:szCs w:val="22"/>
              </w:rPr>
              <w:t>Artículo</w:t>
            </w:r>
            <w:r w:rsidR="002915E6" w:rsidRPr="00C72D0A">
              <w:rPr>
                <w:rFonts w:asciiTheme="minorHAnsi" w:hAnsiTheme="minorHAnsi" w:cs="Arial"/>
                <w:sz w:val="22"/>
                <w:szCs w:val="22"/>
              </w:rPr>
              <w:t>s</w:t>
            </w:r>
            <w:r w:rsidRPr="00C72D0A">
              <w:rPr>
                <w:rFonts w:asciiTheme="minorHAnsi" w:hAnsiTheme="minorHAnsi" w:cs="Arial"/>
                <w:sz w:val="22"/>
                <w:szCs w:val="22"/>
              </w:rPr>
              <w:t xml:space="preserve"> 1</w:t>
            </w:r>
            <w:r w:rsidR="005638A9">
              <w:rPr>
                <w:rFonts w:asciiTheme="minorHAnsi" w:hAnsiTheme="minorHAnsi" w:cs="Arial"/>
                <w:sz w:val="22"/>
                <w:szCs w:val="22"/>
              </w:rPr>
              <w:t xml:space="preserve">5, </w:t>
            </w:r>
            <w:r w:rsidR="002915E6" w:rsidRPr="00C72D0A">
              <w:rPr>
                <w:rFonts w:asciiTheme="minorHAnsi" w:hAnsiTheme="minorHAnsi" w:cs="Arial"/>
                <w:sz w:val="22"/>
                <w:szCs w:val="22"/>
              </w:rPr>
              <w:t>16</w:t>
            </w:r>
            <w:r w:rsidR="005638A9">
              <w:rPr>
                <w:rFonts w:asciiTheme="minorHAnsi" w:hAnsiTheme="minorHAnsi" w:cs="Arial"/>
                <w:sz w:val="22"/>
                <w:szCs w:val="22"/>
              </w:rPr>
              <w:t>, 93 y 94</w:t>
            </w:r>
            <w:r w:rsidRPr="00C72D0A">
              <w:rPr>
                <w:rFonts w:asciiTheme="minorHAnsi" w:hAnsiTheme="minorHAnsi" w:cs="Arial"/>
                <w:sz w:val="22"/>
                <w:szCs w:val="22"/>
              </w:rPr>
              <w:t xml:space="preserve"> del</w:t>
            </w:r>
            <w:r w:rsidR="002915E6" w:rsidRPr="00C72D0A">
              <w:rPr>
                <w:rFonts w:asciiTheme="minorHAnsi" w:hAnsiTheme="minorHAnsi" w:cs="Arial"/>
                <w:sz w:val="22"/>
                <w:szCs w:val="22"/>
              </w:rPr>
              <w:t xml:space="preserve"> </w:t>
            </w:r>
            <w:r w:rsidR="002915E6" w:rsidRPr="00C72D0A">
              <w:rPr>
                <w:rFonts w:asciiTheme="minorHAnsi" w:hAnsiTheme="minorHAnsi" w:cs="Arial"/>
                <w:noProof/>
                <w:sz w:val="22"/>
                <w:szCs w:val="22"/>
              </w:rPr>
              <w:t>Reglamento general sobre sociedades administradoras y fondos de inversión</w:t>
            </w:r>
            <w:r w:rsidR="005E5C3D" w:rsidRPr="00C72D0A">
              <w:rPr>
                <w:rFonts w:asciiTheme="minorHAnsi" w:hAnsiTheme="minorHAnsi" w:cs="Arial"/>
                <w:noProof/>
                <w:sz w:val="22"/>
                <w:szCs w:val="22"/>
              </w:rPr>
              <w:t>.</w:t>
            </w:r>
          </w:p>
          <w:p w:rsidR="003A53EF" w:rsidRPr="00C72D0A" w:rsidRDefault="002915E6" w:rsidP="000F0CDD">
            <w:pPr>
              <w:pStyle w:val="BodyTextIndent"/>
              <w:ind w:left="0" w:firstLine="0"/>
              <w:rPr>
                <w:rFonts w:asciiTheme="minorHAnsi" w:hAnsiTheme="minorHAnsi" w:cs="Arial"/>
                <w:color w:val="000000"/>
                <w:sz w:val="22"/>
                <w:szCs w:val="22"/>
                <w:lang w:eastAsia="es-CR"/>
              </w:rPr>
            </w:pPr>
            <w:r w:rsidRPr="00C72D0A">
              <w:rPr>
                <w:rFonts w:asciiTheme="minorHAnsi" w:hAnsiTheme="minorHAnsi" w:cs="Arial"/>
                <w:noProof/>
                <w:sz w:val="22"/>
                <w:szCs w:val="22"/>
              </w:rPr>
              <w:t>Acuerdo SGV-A-158. Guía para la elaboración y  remisión de prospectos de fondos de inversión</w:t>
            </w:r>
            <w:r w:rsidR="00F24FA0" w:rsidRPr="00C72D0A">
              <w:rPr>
                <w:rFonts w:asciiTheme="minorHAnsi" w:hAnsiTheme="minorHAnsi" w:cs="Arial"/>
                <w:color w:val="000000"/>
                <w:sz w:val="22"/>
                <w:szCs w:val="22"/>
                <w:lang w:eastAsia="es-CR"/>
              </w:rPr>
              <w:t>.</w:t>
            </w:r>
          </w:p>
          <w:p w:rsidR="000F0CDD" w:rsidRPr="00C72D0A" w:rsidRDefault="000F0CDD" w:rsidP="000F0CDD">
            <w:pPr>
              <w:pStyle w:val="BodyTextIndent"/>
              <w:ind w:left="0" w:firstLine="0"/>
              <w:rPr>
                <w:rFonts w:asciiTheme="minorHAnsi" w:hAnsiTheme="minorHAnsi" w:cs="Arial"/>
                <w:color w:val="000000"/>
                <w:sz w:val="22"/>
                <w:szCs w:val="22"/>
                <w:lang w:eastAsia="es-CR"/>
              </w:rPr>
            </w:pPr>
            <w:r w:rsidRPr="00C72D0A">
              <w:rPr>
                <w:rFonts w:asciiTheme="minorHAnsi" w:hAnsiTheme="minorHAnsi" w:cs="Arial"/>
                <w:color w:val="000000"/>
                <w:sz w:val="22"/>
                <w:szCs w:val="22"/>
                <w:lang w:eastAsia="es-CR"/>
              </w:rPr>
              <w:t>Acuerdo SGV-A-170 Disposiciones operativas de las sociedades administradoras de fondos de inversión.</w:t>
            </w:r>
          </w:p>
          <w:p w:rsidR="000F0CDD" w:rsidRPr="00C72D0A" w:rsidRDefault="000F0CDD" w:rsidP="000F0CDD">
            <w:pPr>
              <w:pStyle w:val="BodyTextIndent"/>
              <w:ind w:left="0" w:firstLine="0"/>
              <w:rPr>
                <w:rFonts w:asciiTheme="minorHAnsi" w:hAnsiTheme="minorHAnsi" w:cs="Arial"/>
                <w:noProof/>
                <w:sz w:val="22"/>
                <w:szCs w:val="22"/>
              </w:rPr>
            </w:pPr>
          </w:p>
        </w:tc>
      </w:tr>
      <w:tr w:rsidR="003A53EF" w:rsidRPr="00C72D0A" w:rsidTr="00BC1A28">
        <w:trPr>
          <w:trHeight w:val="454"/>
        </w:trPr>
        <w:tc>
          <w:tcPr>
            <w:tcW w:w="10031" w:type="dxa"/>
            <w:gridSpan w:val="2"/>
            <w:vAlign w:val="center"/>
          </w:tcPr>
          <w:p w:rsidR="003A53EF" w:rsidRPr="00C72D0A" w:rsidRDefault="003A53EF" w:rsidP="00947DB4">
            <w:pPr>
              <w:autoSpaceDE w:val="0"/>
              <w:autoSpaceDN w:val="0"/>
              <w:adjustRightInd w:val="0"/>
              <w:jc w:val="center"/>
              <w:rPr>
                <w:rStyle w:val="Hyperlink"/>
                <w:rFonts w:cs="Arial"/>
                <w:u w:val="none"/>
              </w:rPr>
            </w:pPr>
            <w:r w:rsidRPr="00C72D0A">
              <w:rPr>
                <w:rFonts w:cs="Arial"/>
              </w:rPr>
              <w:t xml:space="preserve">Si desea revisar leyes y decretos los puede encontrar en la página de la Procuraduría General de la República http://www.pgr.go.cr/Scij/index_pgr.asp o si es alguna otra disposición o manual lo puede hacer en la página del Diario Oficial La Gaceta </w:t>
            </w:r>
            <w:hyperlink r:id="rId10" w:history="1">
              <w:r w:rsidRPr="00C72D0A">
                <w:rPr>
                  <w:rStyle w:val="Hyperlink"/>
                  <w:rFonts w:cs="Arial"/>
                </w:rPr>
                <w:t>http://www.gaceta.go.cr</w:t>
              </w:r>
            </w:hyperlink>
            <w:r w:rsidRPr="00C72D0A">
              <w:rPr>
                <w:rStyle w:val="Hyperlink"/>
                <w:rFonts w:cs="Arial"/>
                <w:u w:val="none"/>
              </w:rPr>
              <w:t xml:space="preserve">. </w:t>
            </w:r>
            <w:r w:rsidRPr="00C72D0A">
              <w:rPr>
                <w:rStyle w:val="Hyperlink"/>
                <w:rFonts w:cs="Arial"/>
                <w:color w:val="auto"/>
                <w:u w:val="none"/>
              </w:rPr>
              <w:t>Asimismo</w:t>
            </w:r>
            <w:r w:rsidR="00F2263A" w:rsidRPr="00C72D0A">
              <w:rPr>
                <w:rStyle w:val="Hyperlink"/>
                <w:rFonts w:cs="Arial"/>
                <w:color w:val="auto"/>
                <w:u w:val="none"/>
              </w:rPr>
              <w:t>,</w:t>
            </w:r>
            <w:r w:rsidRPr="00C72D0A">
              <w:rPr>
                <w:rStyle w:val="Hyperlink"/>
                <w:rFonts w:cs="Arial"/>
                <w:color w:val="auto"/>
                <w:u w:val="none"/>
              </w:rPr>
              <w:t xml:space="preserve"> podrán ser consultados en las oficinas de la Superintendencia General de Valores o en el sitio web</w:t>
            </w:r>
            <w:r w:rsidR="00F2263A" w:rsidRPr="00C72D0A">
              <w:rPr>
                <w:rStyle w:val="Hyperlink"/>
                <w:rFonts w:cs="Arial"/>
                <w:color w:val="auto"/>
                <w:u w:val="none"/>
              </w:rPr>
              <w:t>.</w:t>
            </w:r>
            <w:hyperlink r:id="rId11" w:history="1">
              <w:r w:rsidRPr="00C72D0A">
                <w:rPr>
                  <w:rStyle w:val="Hyperlink"/>
                  <w:rFonts w:cs="Arial"/>
                </w:rPr>
                <w:t>www.sugeval.fi.cr</w:t>
              </w:r>
            </w:hyperlink>
          </w:p>
          <w:p w:rsidR="003A53EF" w:rsidRPr="00C72D0A" w:rsidRDefault="003A53EF" w:rsidP="00947DB4">
            <w:pPr>
              <w:autoSpaceDE w:val="0"/>
              <w:autoSpaceDN w:val="0"/>
              <w:adjustRightInd w:val="0"/>
              <w:rPr>
                <w:rFonts w:cs="Arial"/>
                <w:sz w:val="14"/>
                <w:highlight w:val="lightGray"/>
              </w:rPr>
            </w:pP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jc w:val="both"/>
              <w:rPr>
                <w:rFonts w:cs="Arial"/>
                <w:b/>
                <w:color w:val="FFFFFF" w:themeColor="background1"/>
              </w:rPr>
            </w:pPr>
            <w:r w:rsidRPr="00C72D0A">
              <w:rPr>
                <w:rFonts w:cs="Arial"/>
                <w:b/>
                <w:color w:val="FFFFFF" w:themeColor="background1"/>
              </w:rPr>
              <w:t>Dirección de la dependencia y horarios:</w:t>
            </w:r>
          </w:p>
        </w:tc>
        <w:tc>
          <w:tcPr>
            <w:tcW w:w="5542" w:type="dxa"/>
            <w:vAlign w:val="center"/>
          </w:tcPr>
          <w:p w:rsidR="003A53EF" w:rsidRPr="00C72D0A" w:rsidRDefault="003A53EF" w:rsidP="00947DB4">
            <w:pPr>
              <w:jc w:val="both"/>
              <w:rPr>
                <w:rFonts w:cs="Arial"/>
              </w:rPr>
            </w:pPr>
            <w:r w:rsidRPr="00C72D0A">
              <w:rPr>
                <w:rFonts w:cs="Arial"/>
              </w:rPr>
              <w:t xml:space="preserve">San Pedro de Montes de Oca, del Mall San Pedro, 300 metros norte.  Edificio </w:t>
            </w:r>
            <w:proofErr w:type="spellStart"/>
            <w:r w:rsidRPr="00C72D0A">
              <w:rPr>
                <w:rFonts w:cs="Arial"/>
              </w:rPr>
              <w:t>Equus</w:t>
            </w:r>
            <w:proofErr w:type="spellEnd"/>
            <w:r w:rsidRPr="00C72D0A">
              <w:rPr>
                <w:rFonts w:cs="Arial"/>
              </w:rPr>
              <w:t xml:space="preserve">, piso 8. </w:t>
            </w:r>
          </w:p>
          <w:p w:rsidR="003A53EF" w:rsidRPr="00C72D0A" w:rsidRDefault="003A53EF" w:rsidP="00BC1A28">
            <w:pPr>
              <w:jc w:val="both"/>
              <w:rPr>
                <w:rFonts w:cs="Arial"/>
              </w:rPr>
            </w:pPr>
            <w:r w:rsidRPr="00C72D0A">
              <w:rPr>
                <w:rFonts w:cs="Arial"/>
              </w:rPr>
              <w:t xml:space="preserve">Horario: Lunes a viernes de 9:00 a.m. a 5:00 p.m. </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Plazo de resolución:</w:t>
            </w:r>
          </w:p>
        </w:tc>
        <w:tc>
          <w:tcPr>
            <w:tcW w:w="5542" w:type="dxa"/>
            <w:vAlign w:val="center"/>
          </w:tcPr>
          <w:p w:rsidR="003A53EF" w:rsidRPr="00C72D0A" w:rsidRDefault="003A53EF" w:rsidP="00947DB4">
            <w:pPr>
              <w:autoSpaceDE w:val="0"/>
              <w:autoSpaceDN w:val="0"/>
              <w:adjustRightInd w:val="0"/>
              <w:jc w:val="both"/>
              <w:rPr>
                <w:rFonts w:cs="Arial"/>
              </w:rPr>
            </w:pPr>
            <w:r w:rsidRPr="00C72D0A">
              <w:rPr>
                <w:rFonts w:cs="Arial"/>
              </w:rPr>
              <w:t>45 días hábiles</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Vigencia de la licencia, autorización o permiso:</w:t>
            </w:r>
          </w:p>
        </w:tc>
        <w:tc>
          <w:tcPr>
            <w:tcW w:w="5542" w:type="dxa"/>
            <w:vAlign w:val="center"/>
          </w:tcPr>
          <w:p w:rsidR="00F90A87" w:rsidRPr="00C72D0A" w:rsidRDefault="00F90A87" w:rsidP="004A53DF">
            <w:pPr>
              <w:jc w:val="both"/>
              <w:rPr>
                <w:rFonts w:cs="Arial"/>
              </w:rPr>
            </w:pPr>
            <w:r w:rsidRPr="00C72D0A">
              <w:rPr>
                <w:rFonts w:cs="Arial"/>
              </w:rPr>
              <w:t>Hasta el vencimiento del fondo, en caso de que este cuente con una fecha de vencimiento definida.</w:t>
            </w:r>
          </w:p>
          <w:p w:rsidR="003A53EF" w:rsidRPr="00C72D0A" w:rsidRDefault="00A97E47" w:rsidP="004A53DF">
            <w:pPr>
              <w:jc w:val="both"/>
              <w:rPr>
                <w:rFonts w:cs="Arial"/>
              </w:rPr>
            </w:pPr>
            <w:r w:rsidRPr="00C72D0A">
              <w:rPr>
                <w:rFonts w:cs="Arial"/>
              </w:rPr>
              <w:t>Indefinida</w:t>
            </w:r>
            <w:r w:rsidR="00F90A87" w:rsidRPr="00C72D0A">
              <w:rPr>
                <w:rFonts w:cs="Arial"/>
              </w:rPr>
              <w:t>, en caso de fondos que no establezcan una fecha de vencimiento específica.</w:t>
            </w:r>
          </w:p>
          <w:p w:rsidR="00186F28" w:rsidRPr="00C72D0A" w:rsidRDefault="00186F28" w:rsidP="004A53DF">
            <w:pPr>
              <w:jc w:val="both"/>
              <w:rPr>
                <w:rFonts w:cs="Arial"/>
              </w:rPr>
            </w:pPr>
            <w:r w:rsidRPr="00C72D0A">
              <w:rPr>
                <w:rFonts w:cs="Arial"/>
              </w:rPr>
              <w:t>Ver apartado “Notas”.</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Costo del trámite:</w:t>
            </w:r>
          </w:p>
        </w:tc>
        <w:tc>
          <w:tcPr>
            <w:tcW w:w="5542" w:type="dxa"/>
            <w:vAlign w:val="center"/>
          </w:tcPr>
          <w:p w:rsidR="003A53EF" w:rsidRPr="00C72D0A" w:rsidRDefault="003A53EF" w:rsidP="00947DB4">
            <w:pPr>
              <w:autoSpaceDE w:val="0"/>
              <w:autoSpaceDN w:val="0"/>
              <w:adjustRightInd w:val="0"/>
              <w:jc w:val="both"/>
              <w:rPr>
                <w:rFonts w:cs="Arial"/>
              </w:rPr>
            </w:pPr>
            <w:r w:rsidRPr="00C72D0A">
              <w:rPr>
                <w:rFonts w:cs="Arial"/>
              </w:rPr>
              <w:t>Gratuito</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Funcionario contacto:</w:t>
            </w:r>
          </w:p>
        </w:tc>
        <w:tc>
          <w:tcPr>
            <w:tcW w:w="5542" w:type="dxa"/>
            <w:vAlign w:val="center"/>
          </w:tcPr>
          <w:p w:rsidR="003A53EF" w:rsidRPr="00C72D0A" w:rsidRDefault="003A53EF" w:rsidP="00947DB4">
            <w:pPr>
              <w:autoSpaceDE w:val="0"/>
              <w:autoSpaceDN w:val="0"/>
              <w:adjustRightInd w:val="0"/>
              <w:jc w:val="both"/>
              <w:rPr>
                <w:rFonts w:cs="Arial"/>
              </w:rPr>
            </w:pPr>
            <w:r w:rsidRPr="00C72D0A">
              <w:rPr>
                <w:rFonts w:cs="Arial"/>
              </w:rPr>
              <w:t>Departamento de Información y Comunicación</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Nombre:</w:t>
            </w:r>
          </w:p>
        </w:tc>
        <w:tc>
          <w:tcPr>
            <w:tcW w:w="5542" w:type="dxa"/>
            <w:vAlign w:val="center"/>
          </w:tcPr>
          <w:p w:rsidR="003A53EF" w:rsidRPr="00C72D0A" w:rsidRDefault="003A53EF" w:rsidP="00947DB4">
            <w:pPr>
              <w:autoSpaceDE w:val="0"/>
              <w:autoSpaceDN w:val="0"/>
              <w:adjustRightInd w:val="0"/>
              <w:jc w:val="both"/>
              <w:rPr>
                <w:rFonts w:cs="Arial"/>
              </w:rPr>
            </w:pPr>
            <w:r w:rsidRPr="00C72D0A">
              <w:rPr>
                <w:rFonts w:cs="Arial"/>
              </w:rPr>
              <w:t>Isabel Tan Chan / Alejandra Mora Díaz</w:t>
            </w:r>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E-mail:</w:t>
            </w:r>
          </w:p>
        </w:tc>
        <w:tc>
          <w:tcPr>
            <w:tcW w:w="5542" w:type="dxa"/>
            <w:vAlign w:val="center"/>
          </w:tcPr>
          <w:p w:rsidR="003A53EF" w:rsidRPr="00C72D0A" w:rsidRDefault="007619B1" w:rsidP="00947DB4">
            <w:pPr>
              <w:autoSpaceDE w:val="0"/>
              <w:autoSpaceDN w:val="0"/>
              <w:adjustRightInd w:val="0"/>
              <w:jc w:val="both"/>
              <w:rPr>
                <w:rFonts w:cs="Arial"/>
              </w:rPr>
            </w:pPr>
            <w:hyperlink r:id="rId12" w:history="1">
              <w:r w:rsidR="003A53EF" w:rsidRPr="00C72D0A">
                <w:rPr>
                  <w:rStyle w:val="Hyperlink"/>
                  <w:rFonts w:cs="Arial"/>
                </w:rPr>
                <w:t>correo@sugeval.fi.cr</w:t>
              </w:r>
            </w:hyperlink>
          </w:p>
        </w:tc>
      </w:tr>
      <w:tr w:rsidR="003A53EF" w:rsidRPr="00C72D0A" w:rsidTr="00BC1A28">
        <w:trPr>
          <w:trHeight w:val="454"/>
        </w:trPr>
        <w:tc>
          <w:tcPr>
            <w:tcW w:w="4489"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color w:val="FFFFFF" w:themeColor="background1"/>
              </w:rPr>
            </w:pPr>
            <w:r w:rsidRPr="00C72D0A">
              <w:rPr>
                <w:rFonts w:cs="Arial"/>
                <w:b/>
                <w:color w:val="FFFFFF" w:themeColor="background1"/>
              </w:rPr>
              <w:t xml:space="preserve">Teléfono:                  </w:t>
            </w:r>
            <w:r w:rsidRPr="00C72D0A">
              <w:rPr>
                <w:rFonts w:cs="Arial"/>
                <w:color w:val="FFFFFF" w:themeColor="background1"/>
              </w:rPr>
              <w:t>2243-4700</w:t>
            </w:r>
          </w:p>
        </w:tc>
        <w:tc>
          <w:tcPr>
            <w:tcW w:w="5542" w:type="dxa"/>
            <w:shd w:val="clear" w:color="auto" w:fill="808080" w:themeFill="background1" w:themeFillShade="80"/>
            <w:vAlign w:val="center"/>
          </w:tcPr>
          <w:p w:rsidR="003A53EF" w:rsidRPr="00C72D0A" w:rsidRDefault="003A53EF" w:rsidP="00947DB4">
            <w:pPr>
              <w:autoSpaceDE w:val="0"/>
              <w:autoSpaceDN w:val="0"/>
              <w:adjustRightInd w:val="0"/>
              <w:jc w:val="both"/>
              <w:rPr>
                <w:rFonts w:cs="Arial"/>
                <w:b/>
              </w:rPr>
            </w:pPr>
            <w:r w:rsidRPr="00C72D0A">
              <w:rPr>
                <w:rFonts w:cs="Arial"/>
                <w:b/>
                <w:color w:val="FFFFFF" w:themeColor="background1"/>
              </w:rPr>
              <w:t xml:space="preserve">Fax:                              </w:t>
            </w:r>
            <w:r w:rsidRPr="00C72D0A">
              <w:rPr>
                <w:rFonts w:cs="Arial"/>
                <w:color w:val="FFFFFF" w:themeColor="background1"/>
              </w:rPr>
              <w:t>2243-4646</w:t>
            </w:r>
          </w:p>
        </w:tc>
      </w:tr>
      <w:tr w:rsidR="003A53EF" w:rsidRPr="00C72D0A" w:rsidTr="00BC1A28">
        <w:trPr>
          <w:trHeight w:val="454"/>
        </w:trPr>
        <w:tc>
          <w:tcPr>
            <w:tcW w:w="10031" w:type="dxa"/>
            <w:gridSpan w:val="2"/>
            <w:shd w:val="clear" w:color="auto" w:fill="365F91" w:themeFill="accent1" w:themeFillShade="BF"/>
            <w:vAlign w:val="center"/>
          </w:tcPr>
          <w:p w:rsidR="003A53EF" w:rsidRPr="00C72D0A" w:rsidRDefault="003A53EF" w:rsidP="00947DB4">
            <w:pPr>
              <w:autoSpaceDE w:val="0"/>
              <w:autoSpaceDN w:val="0"/>
              <w:adjustRightInd w:val="0"/>
              <w:jc w:val="center"/>
              <w:rPr>
                <w:rFonts w:cs="Arial"/>
                <w:b/>
              </w:rPr>
            </w:pPr>
            <w:r w:rsidRPr="00C72D0A">
              <w:rPr>
                <w:rFonts w:cs="Arial"/>
                <w:b/>
                <w:color w:val="FFFFFF" w:themeColor="background1"/>
              </w:rPr>
              <w:t>Notas</w:t>
            </w:r>
          </w:p>
        </w:tc>
      </w:tr>
      <w:tr w:rsidR="003A53EF" w:rsidRPr="00C72D0A" w:rsidTr="00BC1A28">
        <w:trPr>
          <w:trHeight w:val="454"/>
        </w:trPr>
        <w:tc>
          <w:tcPr>
            <w:tcW w:w="10031" w:type="dxa"/>
            <w:gridSpan w:val="2"/>
            <w:vAlign w:val="center"/>
          </w:tcPr>
          <w:p w:rsidR="00186F28" w:rsidRPr="00C72D0A" w:rsidRDefault="00186F28" w:rsidP="005A6FFC">
            <w:pPr>
              <w:tabs>
                <w:tab w:val="left" w:pos="7289"/>
              </w:tabs>
              <w:jc w:val="both"/>
              <w:rPr>
                <w:rFonts w:cs="Arial"/>
                <w:sz w:val="10"/>
              </w:rPr>
            </w:pPr>
            <w:r w:rsidRPr="00C72D0A">
              <w:rPr>
                <w:rFonts w:cs="Arial"/>
              </w:rPr>
              <w:t>Los fondos de inversión deben iniciar operaciones en un plazo no mayor a nueve meses contados a partir de la fecha de recibido de la carta de cumplimiento de requisitos finales para la inscripción. Se entiende que un fondo ha iniciado operaciones si en el plazo indicado cuenta con el activo neto mínimo y el número mínimo de inversionistas establecido en el Reglamento general sobre sociedades administradoras y fondos de inversión. Los plazos anteriores se pueden prorrogar una vez de conformidad con lo establecido en el artículo 121 de dicho Reglamento.</w:t>
            </w:r>
          </w:p>
          <w:p w:rsidR="00186F28" w:rsidRPr="00C72D0A" w:rsidRDefault="00186F28" w:rsidP="00186F28">
            <w:pPr>
              <w:tabs>
                <w:tab w:val="left" w:pos="7289"/>
              </w:tabs>
              <w:rPr>
                <w:rFonts w:cs="Arial"/>
              </w:rPr>
            </w:pPr>
            <w:r w:rsidRPr="00C72D0A">
              <w:rPr>
                <w:rFonts w:cs="Arial"/>
              </w:rPr>
              <w:t xml:space="preserve">En el caso de fondos de desarrollo </w:t>
            </w:r>
            <w:r w:rsidR="006F1E59" w:rsidRPr="00C72D0A">
              <w:rPr>
                <w:rFonts w:cs="Arial"/>
              </w:rPr>
              <w:t>de proyectos</w:t>
            </w:r>
            <w:r w:rsidRPr="00C72D0A">
              <w:rPr>
                <w:rFonts w:cs="Arial"/>
              </w:rPr>
              <w:t xml:space="preserve"> el plazo para inicio de operaciones es de dieciocho meses.</w:t>
            </w:r>
          </w:p>
          <w:p w:rsidR="003A53EF" w:rsidRDefault="00186F28" w:rsidP="005A6FFC">
            <w:pPr>
              <w:jc w:val="both"/>
              <w:rPr>
                <w:rFonts w:cs="Arial"/>
              </w:rPr>
            </w:pPr>
            <w:r w:rsidRPr="00C72D0A">
              <w:rPr>
                <w:rFonts w:cs="Arial"/>
              </w:rPr>
              <w:t xml:space="preserve">En caso de que el fondo no inicie operaciones en el plazo correspondiente, la autorización quedará sin efecto. Si el fondo presenta participaciones </w:t>
            </w:r>
            <w:r w:rsidR="005A6FFC" w:rsidRPr="00C72D0A">
              <w:rPr>
                <w:rFonts w:cs="Arial"/>
              </w:rPr>
              <w:t>e</w:t>
            </w:r>
            <w:r w:rsidRPr="00C72D0A">
              <w:rPr>
                <w:rFonts w:cs="Arial"/>
              </w:rPr>
              <w:t xml:space="preserve">n circulación, la sociedad administradora deberá realizar un proceso de </w:t>
            </w:r>
            <w:proofErr w:type="spellStart"/>
            <w:r w:rsidRPr="00C72D0A">
              <w:rPr>
                <w:rFonts w:cs="Arial"/>
              </w:rPr>
              <w:t>desinscripción</w:t>
            </w:r>
            <w:proofErr w:type="spellEnd"/>
            <w:r w:rsidRPr="00C72D0A">
              <w:rPr>
                <w:rFonts w:cs="Arial"/>
              </w:rPr>
              <w:t xml:space="preserve"> del fondo.</w:t>
            </w:r>
          </w:p>
          <w:p w:rsidR="00504834" w:rsidRPr="00504834" w:rsidRDefault="00504834" w:rsidP="00504834">
            <w:pPr>
              <w:jc w:val="both"/>
              <w:rPr>
                <w:rFonts w:cs="Arial"/>
              </w:rPr>
            </w:pPr>
            <w:r w:rsidRPr="00504834">
              <w:rPr>
                <w:rFonts w:cs="Arial"/>
              </w:rPr>
              <w:t xml:space="preserve">Para atender los trámites de inscripción, la Superintendencia verificará en los sistemas de la Caja Costarricense del Seguro Social (CCSS) </w:t>
            </w:r>
            <w:r>
              <w:rPr>
                <w:rFonts w:cs="Arial"/>
              </w:rPr>
              <w:t xml:space="preserve">y de la </w:t>
            </w:r>
            <w:r w:rsidRPr="00504834">
              <w:rPr>
                <w:rFonts w:cs="Arial"/>
              </w:rPr>
              <w:t xml:space="preserve">Dirección General de Desarrollo Social y Asignaciones Familiares  </w:t>
            </w:r>
          </w:p>
          <w:p w:rsidR="00504834" w:rsidRPr="00C72D0A" w:rsidRDefault="00372603" w:rsidP="00372603">
            <w:pPr>
              <w:jc w:val="both"/>
              <w:rPr>
                <w:rFonts w:cs="Arial"/>
                <w:bCs/>
              </w:rPr>
            </w:pPr>
            <w:r>
              <w:rPr>
                <w:rFonts w:cs="Arial"/>
              </w:rPr>
              <w:t>(</w:t>
            </w:r>
            <w:r w:rsidR="00504834">
              <w:rPr>
                <w:rFonts w:cs="Arial"/>
              </w:rPr>
              <w:t>FODESAF</w:t>
            </w:r>
            <w:r>
              <w:rPr>
                <w:rFonts w:cs="Arial"/>
              </w:rPr>
              <w:t xml:space="preserve">) </w:t>
            </w:r>
            <w:r w:rsidR="00504834" w:rsidRPr="00504834">
              <w:rPr>
                <w:rFonts w:cs="Arial"/>
              </w:rPr>
              <w:t xml:space="preserve">que </w:t>
            </w:r>
            <w:r w:rsidR="00504834">
              <w:rPr>
                <w:rFonts w:cs="Arial"/>
              </w:rPr>
              <w:t>las Sociedades Administradoras</w:t>
            </w:r>
            <w:r w:rsidR="00504834" w:rsidRPr="00504834">
              <w:rPr>
                <w:rFonts w:cs="Arial"/>
              </w:rPr>
              <w:t xml:space="preserve"> cost</w:t>
            </w:r>
            <w:r>
              <w:rPr>
                <w:rFonts w:cs="Arial"/>
              </w:rPr>
              <w:t>arricenses se encuentren al día en sus obligaciones con dichas entidades.</w:t>
            </w:r>
          </w:p>
        </w:tc>
      </w:tr>
    </w:tbl>
    <w:p w:rsidR="00194C77" w:rsidRDefault="00194C77" w:rsidP="005A6FFC"/>
    <w:sectPr w:rsidR="00194C77" w:rsidSect="00856F0A">
      <w:headerReference w:type="default" r:id="rId13"/>
      <w:pgSz w:w="12240" w:h="15840"/>
      <w:pgMar w:top="1582" w:right="118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B1" w:rsidRDefault="007619B1" w:rsidP="008417D3">
      <w:pPr>
        <w:spacing w:after="0" w:line="240" w:lineRule="auto"/>
      </w:pPr>
      <w:r>
        <w:separator/>
      </w:r>
    </w:p>
  </w:endnote>
  <w:endnote w:type="continuationSeparator" w:id="0">
    <w:p w:rsidR="007619B1" w:rsidRDefault="007619B1" w:rsidP="0084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B1" w:rsidRDefault="007619B1" w:rsidP="008417D3">
      <w:pPr>
        <w:spacing w:after="0" w:line="240" w:lineRule="auto"/>
      </w:pPr>
      <w:r>
        <w:separator/>
      </w:r>
    </w:p>
  </w:footnote>
  <w:footnote w:type="continuationSeparator" w:id="0">
    <w:p w:rsidR="007619B1" w:rsidRDefault="007619B1" w:rsidP="00841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A28" w:rsidRDefault="00BC1A28" w:rsidP="008417D3">
    <w:pPr>
      <w:pStyle w:val="Header"/>
      <w:jc w:val="right"/>
    </w:pPr>
    <w:r w:rsidRPr="008E42A6">
      <w:rPr>
        <w:noProof/>
        <w:lang w:eastAsia="es-CR"/>
      </w:rPr>
      <w:drawing>
        <wp:anchor distT="0" distB="0" distL="114300" distR="114300" simplePos="0" relativeHeight="251658240" behindDoc="0" locked="0" layoutInCell="1" allowOverlap="1" wp14:anchorId="574F1830" wp14:editId="105FBEB6">
          <wp:simplePos x="0" y="0"/>
          <wp:positionH relativeFrom="column">
            <wp:posOffset>-529591</wp:posOffset>
          </wp:positionH>
          <wp:positionV relativeFrom="paragraph">
            <wp:posOffset>-268605</wp:posOffset>
          </wp:positionV>
          <wp:extent cx="2771775" cy="684595"/>
          <wp:effectExtent l="0" t="0" r="0" b="1270"/>
          <wp:wrapNone/>
          <wp:docPr id="2" name="Picture 2" descr="C:\Users\guzmanvf\AppData\Local\Temp\Logo-Sugeval-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zmanvf\AppData\Local\Temp\Logo-Sugeval-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851" cy="690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92D"/>
    <w:multiLevelType w:val="hybridMultilevel"/>
    <w:tmpl w:val="A37EB676"/>
    <w:lvl w:ilvl="0" w:tplc="8410E5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C8135B"/>
    <w:multiLevelType w:val="hybridMultilevel"/>
    <w:tmpl w:val="5B006708"/>
    <w:lvl w:ilvl="0" w:tplc="0290A9B4">
      <w:start w:val="1"/>
      <w:numFmt w:val="decimal"/>
      <w:lvlText w:val="%1."/>
      <w:lvlJc w:val="left"/>
      <w:pPr>
        <w:ind w:left="720" w:hanging="360"/>
      </w:pPr>
      <w:rPr>
        <w:rFonts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E54D77"/>
    <w:multiLevelType w:val="hybridMultilevel"/>
    <w:tmpl w:val="17D83BF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0EE773CF"/>
    <w:multiLevelType w:val="hybridMultilevel"/>
    <w:tmpl w:val="FCD07B2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9D1BB0"/>
    <w:multiLevelType w:val="hybridMultilevel"/>
    <w:tmpl w:val="F6DE5050"/>
    <w:lvl w:ilvl="0" w:tplc="C024BA4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F74964"/>
    <w:multiLevelType w:val="hybridMultilevel"/>
    <w:tmpl w:val="7DBE75E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48D7CAC"/>
    <w:multiLevelType w:val="hybridMultilevel"/>
    <w:tmpl w:val="BF8AC828"/>
    <w:lvl w:ilvl="0" w:tplc="4C1AD020">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9D21A2"/>
    <w:multiLevelType w:val="hybridMultilevel"/>
    <w:tmpl w:val="ECE82EF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ADE5219"/>
    <w:multiLevelType w:val="hybridMultilevel"/>
    <w:tmpl w:val="8AE0258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3F9574C9"/>
    <w:multiLevelType w:val="hybridMultilevel"/>
    <w:tmpl w:val="4D1A320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5BA28B9"/>
    <w:multiLevelType w:val="hybridMultilevel"/>
    <w:tmpl w:val="181C670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47443383"/>
    <w:multiLevelType w:val="hybridMultilevel"/>
    <w:tmpl w:val="EFA651EE"/>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4CC55C3C"/>
    <w:multiLevelType w:val="hybridMultilevel"/>
    <w:tmpl w:val="6B18F7E6"/>
    <w:lvl w:ilvl="0" w:tplc="8410E58C">
      <w:start w:val="1"/>
      <w:numFmt w:val="bullet"/>
      <w:lvlText w:val="-"/>
      <w:lvlJc w:val="left"/>
      <w:pPr>
        <w:ind w:left="720" w:hanging="360"/>
      </w:pPr>
      <w:rPr>
        <w:rFonts w:ascii="Arial" w:hAnsi="Arial"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0046B76"/>
    <w:multiLevelType w:val="hybridMultilevel"/>
    <w:tmpl w:val="CB7032DC"/>
    <w:lvl w:ilvl="0" w:tplc="8410E5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38C5D6A"/>
    <w:multiLevelType w:val="hybridMultilevel"/>
    <w:tmpl w:val="0D08504A"/>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54CD03E4"/>
    <w:multiLevelType w:val="hybridMultilevel"/>
    <w:tmpl w:val="BEA43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346F67"/>
    <w:multiLevelType w:val="hybridMultilevel"/>
    <w:tmpl w:val="1E388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A77FC"/>
    <w:multiLevelType w:val="hybridMultilevel"/>
    <w:tmpl w:val="4C84FC7A"/>
    <w:lvl w:ilvl="0" w:tplc="C892150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ABD5727"/>
    <w:multiLevelType w:val="hybridMultilevel"/>
    <w:tmpl w:val="649C0C5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AC2062B"/>
    <w:multiLevelType w:val="hybridMultilevel"/>
    <w:tmpl w:val="B2CAA272"/>
    <w:lvl w:ilvl="0" w:tplc="1B02733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F074A14"/>
    <w:multiLevelType w:val="hybridMultilevel"/>
    <w:tmpl w:val="32682C68"/>
    <w:lvl w:ilvl="0" w:tplc="9F2600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495645"/>
    <w:multiLevelType w:val="hybridMultilevel"/>
    <w:tmpl w:val="CA3A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A74E6"/>
    <w:multiLevelType w:val="hybridMultilevel"/>
    <w:tmpl w:val="C758242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63B856F7"/>
    <w:multiLevelType w:val="hybridMultilevel"/>
    <w:tmpl w:val="FBACAD70"/>
    <w:lvl w:ilvl="0" w:tplc="140A0017">
      <w:start w:val="1"/>
      <w:numFmt w:val="lowerLetter"/>
      <w:lvlText w:val="%1)"/>
      <w:lvlJc w:val="left"/>
      <w:pPr>
        <w:ind w:left="1068" w:hanging="360"/>
      </w:pPr>
      <w:rPr>
        <w:rFont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4" w15:restartNumberingAfterBreak="0">
    <w:nsid w:val="6A3118A6"/>
    <w:multiLevelType w:val="hybridMultilevel"/>
    <w:tmpl w:val="A8A409F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2F27E19"/>
    <w:multiLevelType w:val="hybridMultilevel"/>
    <w:tmpl w:val="CD641AAE"/>
    <w:lvl w:ilvl="0" w:tplc="8410E5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59A6F8B"/>
    <w:multiLevelType w:val="hybridMultilevel"/>
    <w:tmpl w:val="CC86D158"/>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7B5833F3"/>
    <w:multiLevelType w:val="hybridMultilevel"/>
    <w:tmpl w:val="4F806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101EF"/>
    <w:multiLevelType w:val="multilevel"/>
    <w:tmpl w:val="6D0E1A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D916A0"/>
    <w:multiLevelType w:val="hybridMultilevel"/>
    <w:tmpl w:val="35AC8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2"/>
  </w:num>
  <w:num w:numId="4">
    <w:abstractNumId w:val="14"/>
  </w:num>
  <w:num w:numId="5">
    <w:abstractNumId w:val="10"/>
  </w:num>
  <w:num w:numId="6">
    <w:abstractNumId w:val="26"/>
  </w:num>
  <w:num w:numId="7">
    <w:abstractNumId w:val="5"/>
  </w:num>
  <w:num w:numId="8">
    <w:abstractNumId w:val="19"/>
  </w:num>
  <w:num w:numId="9">
    <w:abstractNumId w:val="18"/>
  </w:num>
  <w:num w:numId="10">
    <w:abstractNumId w:val="17"/>
  </w:num>
  <w:num w:numId="11">
    <w:abstractNumId w:val="24"/>
  </w:num>
  <w:num w:numId="12">
    <w:abstractNumId w:val="4"/>
  </w:num>
  <w:num w:numId="13">
    <w:abstractNumId w:val="11"/>
  </w:num>
  <w:num w:numId="14">
    <w:abstractNumId w:val="2"/>
  </w:num>
  <w:num w:numId="15">
    <w:abstractNumId w:val="8"/>
  </w:num>
  <w:num w:numId="16">
    <w:abstractNumId w:val="22"/>
  </w:num>
  <w:num w:numId="17">
    <w:abstractNumId w:val="13"/>
  </w:num>
  <w:num w:numId="18">
    <w:abstractNumId w:val="28"/>
  </w:num>
  <w:num w:numId="19">
    <w:abstractNumId w:val="0"/>
  </w:num>
  <w:num w:numId="20">
    <w:abstractNumId w:val="3"/>
  </w:num>
  <w:num w:numId="21">
    <w:abstractNumId w:val="23"/>
  </w:num>
  <w:num w:numId="22">
    <w:abstractNumId w:val="15"/>
  </w:num>
  <w:num w:numId="23">
    <w:abstractNumId w:val="29"/>
  </w:num>
  <w:num w:numId="24">
    <w:abstractNumId w:val="6"/>
  </w:num>
  <w:num w:numId="25">
    <w:abstractNumId w:val="27"/>
  </w:num>
  <w:num w:numId="26">
    <w:abstractNumId w:val="16"/>
  </w:num>
  <w:num w:numId="27">
    <w:abstractNumId w:val="7"/>
  </w:num>
  <w:num w:numId="28">
    <w:abstractNumId w:val="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60"/>
    <w:rsid w:val="00006859"/>
    <w:rsid w:val="00041649"/>
    <w:rsid w:val="00055B2A"/>
    <w:rsid w:val="0006189C"/>
    <w:rsid w:val="0007140F"/>
    <w:rsid w:val="0007461E"/>
    <w:rsid w:val="000E14AF"/>
    <w:rsid w:val="000F0CDD"/>
    <w:rsid w:val="001065FD"/>
    <w:rsid w:val="001326FC"/>
    <w:rsid w:val="00141895"/>
    <w:rsid w:val="001552F9"/>
    <w:rsid w:val="00173559"/>
    <w:rsid w:val="001831BA"/>
    <w:rsid w:val="00186F28"/>
    <w:rsid w:val="00194C77"/>
    <w:rsid w:val="001A6301"/>
    <w:rsid w:val="001C51D4"/>
    <w:rsid w:val="001C7B6F"/>
    <w:rsid w:val="001E2395"/>
    <w:rsid w:val="001E28D0"/>
    <w:rsid w:val="002001E5"/>
    <w:rsid w:val="00210F87"/>
    <w:rsid w:val="0022483E"/>
    <w:rsid w:val="002432E7"/>
    <w:rsid w:val="00250D00"/>
    <w:rsid w:val="0026576D"/>
    <w:rsid w:val="002915E6"/>
    <w:rsid w:val="00297C15"/>
    <w:rsid w:val="002C1E15"/>
    <w:rsid w:val="002C3E06"/>
    <w:rsid w:val="00364CC5"/>
    <w:rsid w:val="00372260"/>
    <w:rsid w:val="00372603"/>
    <w:rsid w:val="003827A3"/>
    <w:rsid w:val="003848CA"/>
    <w:rsid w:val="003A53EF"/>
    <w:rsid w:val="003E489D"/>
    <w:rsid w:val="00417623"/>
    <w:rsid w:val="004415EA"/>
    <w:rsid w:val="0045254A"/>
    <w:rsid w:val="00460048"/>
    <w:rsid w:val="00474957"/>
    <w:rsid w:val="00484E1B"/>
    <w:rsid w:val="00495987"/>
    <w:rsid w:val="004A53DF"/>
    <w:rsid w:val="004B7301"/>
    <w:rsid w:val="004C32A5"/>
    <w:rsid w:val="004C6B1B"/>
    <w:rsid w:val="004D18C4"/>
    <w:rsid w:val="004D59A6"/>
    <w:rsid w:val="004D5F53"/>
    <w:rsid w:val="00504834"/>
    <w:rsid w:val="005638A9"/>
    <w:rsid w:val="00570145"/>
    <w:rsid w:val="00580CC1"/>
    <w:rsid w:val="005974A5"/>
    <w:rsid w:val="005A343A"/>
    <w:rsid w:val="005A6FFC"/>
    <w:rsid w:val="005E18DA"/>
    <w:rsid w:val="005E5C3D"/>
    <w:rsid w:val="005F3C2E"/>
    <w:rsid w:val="006025FF"/>
    <w:rsid w:val="00650278"/>
    <w:rsid w:val="00657A23"/>
    <w:rsid w:val="0066648A"/>
    <w:rsid w:val="006755EE"/>
    <w:rsid w:val="006823FA"/>
    <w:rsid w:val="006D5012"/>
    <w:rsid w:val="006D78B5"/>
    <w:rsid w:val="006E49C5"/>
    <w:rsid w:val="006F1E59"/>
    <w:rsid w:val="006F401D"/>
    <w:rsid w:val="006F44EB"/>
    <w:rsid w:val="00717BD0"/>
    <w:rsid w:val="007619B1"/>
    <w:rsid w:val="00796884"/>
    <w:rsid w:val="00800480"/>
    <w:rsid w:val="00804AE6"/>
    <w:rsid w:val="00812B0D"/>
    <w:rsid w:val="008144A3"/>
    <w:rsid w:val="008417D3"/>
    <w:rsid w:val="00845CA0"/>
    <w:rsid w:val="00856F0A"/>
    <w:rsid w:val="0088452F"/>
    <w:rsid w:val="00885F35"/>
    <w:rsid w:val="008C2C8C"/>
    <w:rsid w:val="008E42A6"/>
    <w:rsid w:val="008F3092"/>
    <w:rsid w:val="00904CB8"/>
    <w:rsid w:val="0094463E"/>
    <w:rsid w:val="00947DB4"/>
    <w:rsid w:val="0097493A"/>
    <w:rsid w:val="009B2DD9"/>
    <w:rsid w:val="009D6CC8"/>
    <w:rsid w:val="009F5168"/>
    <w:rsid w:val="00A701A3"/>
    <w:rsid w:val="00A754F1"/>
    <w:rsid w:val="00A839FE"/>
    <w:rsid w:val="00A94B20"/>
    <w:rsid w:val="00A97E47"/>
    <w:rsid w:val="00AB2D1D"/>
    <w:rsid w:val="00AB5C90"/>
    <w:rsid w:val="00AF7AF8"/>
    <w:rsid w:val="00B1446C"/>
    <w:rsid w:val="00B17146"/>
    <w:rsid w:val="00B27FA8"/>
    <w:rsid w:val="00B3460E"/>
    <w:rsid w:val="00B406A5"/>
    <w:rsid w:val="00B719A7"/>
    <w:rsid w:val="00B979B5"/>
    <w:rsid w:val="00BC1A28"/>
    <w:rsid w:val="00BF1D41"/>
    <w:rsid w:val="00C10E4B"/>
    <w:rsid w:val="00C400C5"/>
    <w:rsid w:val="00C72D0A"/>
    <w:rsid w:val="00C80312"/>
    <w:rsid w:val="00C871D8"/>
    <w:rsid w:val="00CB35ED"/>
    <w:rsid w:val="00CD385C"/>
    <w:rsid w:val="00CE0A37"/>
    <w:rsid w:val="00D67CE9"/>
    <w:rsid w:val="00D72FCB"/>
    <w:rsid w:val="00D76F97"/>
    <w:rsid w:val="00DB28DB"/>
    <w:rsid w:val="00DE7E9E"/>
    <w:rsid w:val="00EA76E2"/>
    <w:rsid w:val="00EC2F89"/>
    <w:rsid w:val="00ED3606"/>
    <w:rsid w:val="00ED44AB"/>
    <w:rsid w:val="00EF51D7"/>
    <w:rsid w:val="00F2263A"/>
    <w:rsid w:val="00F24FA0"/>
    <w:rsid w:val="00F40A3D"/>
    <w:rsid w:val="00F866D4"/>
    <w:rsid w:val="00F90A87"/>
    <w:rsid w:val="00F927B7"/>
    <w:rsid w:val="00F9658C"/>
    <w:rsid w:val="00F96BB3"/>
    <w:rsid w:val="00FB0ACE"/>
    <w:rsid w:val="00FD18B1"/>
    <w:rsid w:val="00FE14C7"/>
    <w:rsid w:val="00FF1F1D"/>
    <w:rsid w:val="00FF79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BD8E4-4994-4035-913B-2E393DBC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60"/>
    <w:rPr>
      <w:color w:val="0000FF" w:themeColor="hyperlink"/>
      <w:u w:val="single"/>
    </w:rPr>
  </w:style>
  <w:style w:type="paragraph" w:styleId="Header">
    <w:name w:val="header"/>
    <w:basedOn w:val="Normal"/>
    <w:link w:val="HeaderChar"/>
    <w:uiPriority w:val="99"/>
    <w:unhideWhenUsed/>
    <w:rsid w:val="008417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17D3"/>
  </w:style>
  <w:style w:type="paragraph" w:styleId="Footer">
    <w:name w:val="footer"/>
    <w:basedOn w:val="Normal"/>
    <w:link w:val="FooterChar"/>
    <w:uiPriority w:val="99"/>
    <w:unhideWhenUsed/>
    <w:rsid w:val="008417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17D3"/>
  </w:style>
  <w:style w:type="paragraph" w:styleId="BalloonText">
    <w:name w:val="Balloon Text"/>
    <w:basedOn w:val="Normal"/>
    <w:link w:val="BalloonTextChar"/>
    <w:uiPriority w:val="99"/>
    <w:semiHidden/>
    <w:unhideWhenUsed/>
    <w:rsid w:val="0084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D3"/>
    <w:rPr>
      <w:rFonts w:ascii="Tahoma" w:hAnsi="Tahoma" w:cs="Tahoma"/>
      <w:sz w:val="16"/>
      <w:szCs w:val="16"/>
    </w:rPr>
  </w:style>
  <w:style w:type="paragraph" w:styleId="ListParagraph">
    <w:name w:val="List Paragraph"/>
    <w:basedOn w:val="Normal"/>
    <w:uiPriority w:val="34"/>
    <w:qFormat/>
    <w:rsid w:val="00173559"/>
    <w:pPr>
      <w:ind w:left="720"/>
      <w:contextualSpacing/>
    </w:pPr>
  </w:style>
  <w:style w:type="paragraph" w:styleId="BodyTextIndent">
    <w:name w:val="Body Text Indent"/>
    <w:aliases w:val="Sangría de t. independiente"/>
    <w:basedOn w:val="Normal"/>
    <w:link w:val="BodyTextIndentChar"/>
    <w:rsid w:val="002915E6"/>
    <w:pPr>
      <w:widowControl w:val="0"/>
      <w:spacing w:after="0" w:line="240" w:lineRule="auto"/>
      <w:ind w:left="426" w:hanging="426"/>
      <w:jc w:val="both"/>
    </w:pPr>
    <w:rPr>
      <w:rFonts w:ascii="Times New Roman" w:eastAsia="Times New Roman" w:hAnsi="Times New Roman" w:cs="Times New Roman"/>
      <w:sz w:val="28"/>
      <w:szCs w:val="20"/>
      <w:lang w:val="es-ES" w:eastAsia="es-ES"/>
    </w:rPr>
  </w:style>
  <w:style w:type="character" w:customStyle="1" w:styleId="BodyTextIndentChar">
    <w:name w:val="Body Text Indent Char"/>
    <w:aliases w:val="Sangría de t. independiente Char"/>
    <w:basedOn w:val="DefaultParagraphFont"/>
    <w:link w:val="BodyTextIndent"/>
    <w:rsid w:val="002915E6"/>
    <w:rPr>
      <w:rFonts w:ascii="Times New Roman" w:eastAsia="Times New Roman" w:hAnsi="Times New Roman" w:cs="Times New Roman"/>
      <w:sz w:val="28"/>
      <w:szCs w:val="20"/>
      <w:lang w:val="es-ES" w:eastAsia="es-ES"/>
    </w:rPr>
  </w:style>
  <w:style w:type="character" w:styleId="CommentReference">
    <w:name w:val="annotation reference"/>
    <w:basedOn w:val="DefaultParagraphFont"/>
    <w:uiPriority w:val="99"/>
    <w:semiHidden/>
    <w:unhideWhenUsed/>
    <w:rsid w:val="00FB0ACE"/>
    <w:rPr>
      <w:sz w:val="16"/>
      <w:szCs w:val="16"/>
    </w:rPr>
  </w:style>
  <w:style w:type="paragraph" w:styleId="CommentText">
    <w:name w:val="annotation text"/>
    <w:basedOn w:val="Normal"/>
    <w:link w:val="CommentTextChar"/>
    <w:uiPriority w:val="99"/>
    <w:semiHidden/>
    <w:unhideWhenUsed/>
    <w:rsid w:val="00FB0ACE"/>
    <w:pPr>
      <w:spacing w:line="240" w:lineRule="auto"/>
    </w:pPr>
    <w:rPr>
      <w:sz w:val="20"/>
      <w:szCs w:val="20"/>
    </w:rPr>
  </w:style>
  <w:style w:type="character" w:customStyle="1" w:styleId="CommentTextChar">
    <w:name w:val="Comment Text Char"/>
    <w:basedOn w:val="DefaultParagraphFont"/>
    <w:link w:val="CommentText"/>
    <w:uiPriority w:val="99"/>
    <w:semiHidden/>
    <w:rsid w:val="00FB0ACE"/>
    <w:rPr>
      <w:sz w:val="20"/>
      <w:szCs w:val="20"/>
    </w:rPr>
  </w:style>
  <w:style w:type="paragraph" w:styleId="CommentSubject">
    <w:name w:val="annotation subject"/>
    <w:basedOn w:val="CommentText"/>
    <w:next w:val="CommentText"/>
    <w:link w:val="CommentSubjectChar"/>
    <w:uiPriority w:val="99"/>
    <w:semiHidden/>
    <w:unhideWhenUsed/>
    <w:rsid w:val="00FB0ACE"/>
    <w:rPr>
      <w:b/>
      <w:bCs/>
    </w:rPr>
  </w:style>
  <w:style w:type="character" w:customStyle="1" w:styleId="CommentSubjectChar">
    <w:name w:val="Comment Subject Char"/>
    <w:basedOn w:val="CommentTextChar"/>
    <w:link w:val="CommentSubject"/>
    <w:uiPriority w:val="99"/>
    <w:semiHidden/>
    <w:rsid w:val="00FB0ACE"/>
    <w:rPr>
      <w:b/>
      <w:bCs/>
      <w:sz w:val="20"/>
      <w:szCs w:val="20"/>
    </w:rPr>
  </w:style>
  <w:style w:type="character" w:customStyle="1" w:styleId="a-size-large">
    <w:name w:val="a-size-large"/>
    <w:basedOn w:val="DefaultParagraphFont"/>
    <w:rsid w:val="00417623"/>
  </w:style>
  <w:style w:type="paragraph" w:styleId="FootnoteText">
    <w:name w:val="footnote text"/>
    <w:basedOn w:val="Normal"/>
    <w:link w:val="FootnoteTextChar"/>
    <w:uiPriority w:val="99"/>
    <w:semiHidden/>
    <w:unhideWhenUsed/>
    <w:rsid w:val="00484E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E1B"/>
    <w:rPr>
      <w:sz w:val="20"/>
      <w:szCs w:val="20"/>
    </w:rPr>
  </w:style>
  <w:style w:type="character" w:styleId="FootnoteReference">
    <w:name w:val="footnote reference"/>
    <w:basedOn w:val="DefaultParagraphFont"/>
    <w:uiPriority w:val="99"/>
    <w:semiHidden/>
    <w:unhideWhenUsed/>
    <w:rsid w:val="00484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9151">
      <w:bodyDiv w:val="1"/>
      <w:marLeft w:val="0"/>
      <w:marRight w:val="0"/>
      <w:marTop w:val="0"/>
      <w:marBottom w:val="0"/>
      <w:divBdr>
        <w:top w:val="none" w:sz="0" w:space="0" w:color="auto"/>
        <w:left w:val="none" w:sz="0" w:space="0" w:color="auto"/>
        <w:bottom w:val="none" w:sz="0" w:space="0" w:color="auto"/>
        <w:right w:val="none" w:sz="0" w:space="0" w:color="auto"/>
      </w:divBdr>
    </w:div>
    <w:div w:id="700934133">
      <w:bodyDiv w:val="1"/>
      <w:marLeft w:val="0"/>
      <w:marRight w:val="0"/>
      <w:marTop w:val="0"/>
      <w:marBottom w:val="0"/>
      <w:divBdr>
        <w:top w:val="none" w:sz="0" w:space="0" w:color="auto"/>
        <w:left w:val="none" w:sz="0" w:space="0" w:color="auto"/>
        <w:bottom w:val="none" w:sz="0" w:space="0" w:color="auto"/>
        <w:right w:val="none" w:sz="0" w:space="0" w:color="auto"/>
      </w:divBdr>
    </w:div>
    <w:div w:id="734165324">
      <w:bodyDiv w:val="1"/>
      <w:marLeft w:val="0"/>
      <w:marRight w:val="0"/>
      <w:marTop w:val="0"/>
      <w:marBottom w:val="0"/>
      <w:divBdr>
        <w:top w:val="none" w:sz="0" w:space="0" w:color="auto"/>
        <w:left w:val="none" w:sz="0" w:space="0" w:color="auto"/>
        <w:bottom w:val="none" w:sz="0" w:space="0" w:color="auto"/>
        <w:right w:val="none" w:sz="0" w:space="0" w:color="auto"/>
      </w:divBdr>
    </w:div>
    <w:div w:id="856625041">
      <w:bodyDiv w:val="1"/>
      <w:marLeft w:val="0"/>
      <w:marRight w:val="0"/>
      <w:marTop w:val="0"/>
      <w:marBottom w:val="0"/>
      <w:divBdr>
        <w:top w:val="none" w:sz="0" w:space="0" w:color="auto"/>
        <w:left w:val="none" w:sz="0" w:space="0" w:color="auto"/>
        <w:bottom w:val="none" w:sz="0" w:space="0" w:color="auto"/>
        <w:right w:val="none" w:sz="0" w:space="0" w:color="auto"/>
      </w:divBdr>
    </w:div>
    <w:div w:id="18213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rreo@sugeval.fi.cr"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geval.fi.c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aceta.go.c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4FBDF90B580D408250E3959CA18C7A" ma:contentTypeVersion="1" ma:contentTypeDescription="Crear nuevo documento." ma:contentTypeScope="" ma:versionID="1a2e4fd8b3a215540bb1ebc06aafa95d">
  <xsd:schema xmlns:xsd="http://www.w3.org/2001/XMLSchema" xmlns:xs="http://www.w3.org/2001/XMLSchema" xmlns:p="http://schemas.microsoft.com/office/2006/metadata/properties" xmlns:ns2="fc66ef79-2d66-4fa3-90bd-e4f186d8d369" targetNamespace="http://schemas.microsoft.com/office/2006/metadata/properties" ma:root="true" ma:fieldsID="a3f2b74b2ebb6ac8876b35dcb1a76c4f"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CCAF0F4-BB9D-4D0E-8D8F-7499CB4B3D80}"/>
</file>

<file path=customXml/itemProps2.xml><?xml version="1.0" encoding="utf-8"?>
<ds:datastoreItem xmlns:ds="http://schemas.openxmlformats.org/officeDocument/2006/customXml" ds:itemID="{A2C52B47-AFCC-4507-9BA4-44EE550DB3AB}"/>
</file>

<file path=customXml/itemProps3.xml><?xml version="1.0" encoding="utf-8"?>
<ds:datastoreItem xmlns:ds="http://schemas.openxmlformats.org/officeDocument/2006/customXml" ds:itemID="{0C885EF6-EBF3-44FF-A173-60E1F54FD384}"/>
</file>

<file path=customXml/itemProps4.xml><?xml version="1.0" encoding="utf-8"?>
<ds:datastoreItem xmlns:ds="http://schemas.openxmlformats.org/officeDocument/2006/customXml" ds:itemID="{F29870EB-3BCB-4ECA-8B8A-123BD1164C78}"/>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garcialj</dc:creator>
  <cp:lastModifiedBy>TAN CHAN ISABEL MARIA</cp:lastModifiedBy>
  <cp:revision>1</cp:revision>
  <cp:lastPrinted>2012-05-09T16:44:00Z</cp:lastPrinted>
  <dcterms:created xsi:type="dcterms:W3CDTF">2018-05-15T01:38:00Z</dcterms:created>
  <dcterms:modified xsi:type="dcterms:W3CDTF">2018-05-15T01:38:00Z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0x010100FD4FBDF90B580D408250E3959CA18C7A</vt:lpwstr>
  </property>
  <property fmtid="{D5CDD505-2E9C-101B-9397-08002B2CF9AE}" pid="3" name="Departamento">
    <vt:lpwstr>Oferta Pública</vt:lpwstr>
  </property>
  <property fmtid="{D5CDD505-2E9C-101B-9397-08002B2CF9AE}" pid="4" name="Aplicado a:">
    <vt:lpwstr>Fondos de Inversión</vt:lpwstr>
  </property>
</Properties>
</file>